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24557" w14:textId="30D0B11A" w:rsidR="00742430" w:rsidRPr="00151F3F" w:rsidRDefault="00742430" w:rsidP="00EB1CE3">
      <w:pPr>
        <w:spacing w:line="360" w:lineRule="auto"/>
        <w:rPr>
          <w:rFonts w:ascii="Aptos" w:hAnsi="Aptos" w:cs="Arial"/>
          <w:b/>
          <w:bCs/>
        </w:rPr>
      </w:pPr>
      <w:bookmarkStart w:id="0" w:name="_Hlk190863382"/>
      <w:r w:rsidRPr="00151F3F">
        <w:rPr>
          <w:rFonts w:ascii="Aptos" w:hAnsi="Aptos" w:cs="Arial"/>
          <w:b/>
          <w:bCs/>
        </w:rPr>
        <w:t xml:space="preserve">                      </w:t>
      </w:r>
      <w:r w:rsidRPr="00151F3F">
        <w:rPr>
          <w:rFonts w:ascii="Aptos" w:hAnsi="Aptos" w:cs="Arial"/>
          <w:b/>
          <w:bCs/>
          <w:noProof/>
        </w:rPr>
        <w:drawing>
          <wp:inline distT="0" distB="0" distL="0" distR="0" wp14:anchorId="41A5F3D1" wp14:editId="63F1081A">
            <wp:extent cx="3548380" cy="1274445"/>
            <wp:effectExtent l="0" t="0" r="0" b="1905"/>
            <wp:docPr id="11412059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8380" cy="1274445"/>
                    </a:xfrm>
                    <a:prstGeom prst="rect">
                      <a:avLst/>
                    </a:prstGeom>
                    <a:noFill/>
                  </pic:spPr>
                </pic:pic>
              </a:graphicData>
            </a:graphic>
          </wp:inline>
        </w:drawing>
      </w:r>
    </w:p>
    <w:p w14:paraId="35E7325F" w14:textId="19E617FD" w:rsidR="008F11F6" w:rsidRPr="00502B58" w:rsidRDefault="0097363E" w:rsidP="00421EB9">
      <w:pPr>
        <w:spacing w:line="360" w:lineRule="auto"/>
        <w:jc w:val="center"/>
        <w:rPr>
          <w:rFonts w:cs="Arial"/>
          <w:b/>
          <w:bCs/>
          <w:sz w:val="24"/>
          <w:szCs w:val="24"/>
        </w:rPr>
      </w:pPr>
      <w:r w:rsidRPr="00502B58">
        <w:rPr>
          <w:rFonts w:cs="Arial"/>
          <w:b/>
          <w:bCs/>
          <w:sz w:val="24"/>
          <w:szCs w:val="24"/>
        </w:rPr>
        <w:t xml:space="preserve">Draft </w:t>
      </w:r>
      <w:r w:rsidR="008F11F6" w:rsidRPr="00502B58">
        <w:rPr>
          <w:rFonts w:cs="Arial"/>
          <w:b/>
          <w:bCs/>
          <w:sz w:val="24"/>
          <w:szCs w:val="24"/>
        </w:rPr>
        <w:t xml:space="preserve">Concept </w:t>
      </w:r>
      <w:r w:rsidRPr="00502B58">
        <w:rPr>
          <w:rFonts w:cs="Arial"/>
          <w:b/>
          <w:bCs/>
          <w:sz w:val="24"/>
          <w:szCs w:val="24"/>
        </w:rPr>
        <w:t>note</w:t>
      </w:r>
      <w:r w:rsidR="00421EB9" w:rsidRPr="00502B58">
        <w:rPr>
          <w:rFonts w:cs="Arial"/>
          <w:b/>
          <w:bCs/>
          <w:sz w:val="24"/>
          <w:szCs w:val="24"/>
        </w:rPr>
        <w:t xml:space="preserve"> for the </w:t>
      </w:r>
      <w:r w:rsidR="008F11F6" w:rsidRPr="00502B58">
        <w:rPr>
          <w:rFonts w:cs="Arial"/>
          <w:b/>
          <w:bCs/>
          <w:sz w:val="24"/>
          <w:szCs w:val="24"/>
        </w:rPr>
        <w:t xml:space="preserve">Symposium on </w:t>
      </w:r>
      <w:r w:rsidR="004D49BA" w:rsidRPr="00502B58">
        <w:rPr>
          <w:rFonts w:cs="Arial"/>
          <w:b/>
          <w:bCs/>
          <w:sz w:val="24"/>
          <w:szCs w:val="24"/>
        </w:rPr>
        <w:t>T</w:t>
      </w:r>
      <w:r w:rsidR="008F11F6" w:rsidRPr="00502B58">
        <w:rPr>
          <w:rFonts w:cs="Arial"/>
          <w:b/>
          <w:bCs/>
          <w:sz w:val="24"/>
          <w:szCs w:val="24"/>
        </w:rPr>
        <w:t>itling</w:t>
      </w:r>
      <w:r w:rsidR="00227FCB" w:rsidRPr="00502B58">
        <w:rPr>
          <w:rFonts w:cs="Arial"/>
          <w:b/>
          <w:bCs/>
          <w:sz w:val="24"/>
          <w:szCs w:val="24"/>
        </w:rPr>
        <w:t xml:space="preserve"> </w:t>
      </w:r>
    </w:p>
    <w:p w14:paraId="0DFC0F5D" w14:textId="77777777" w:rsidR="007F312F" w:rsidRPr="00502B58" w:rsidRDefault="007F312F" w:rsidP="007F312F">
      <w:pPr>
        <w:pStyle w:val="BodyText"/>
        <w:spacing w:before="20"/>
        <w:ind w:right="202"/>
        <w:rPr>
          <w:rFonts w:asciiTheme="minorHAnsi" w:hAnsiTheme="minorHAnsi" w:cs="Arial"/>
          <w:b/>
          <w:bCs/>
          <w:sz w:val="24"/>
          <w:szCs w:val="24"/>
        </w:rPr>
      </w:pPr>
      <w:r w:rsidRPr="00502B58">
        <w:rPr>
          <w:rFonts w:asciiTheme="minorHAnsi" w:hAnsiTheme="minorHAnsi"/>
          <w:b/>
          <w:bCs/>
          <w:spacing w:val="-2"/>
          <w:sz w:val="24"/>
          <w:szCs w:val="24"/>
        </w:rPr>
        <w:t>Theme: Advancing Land Titling: Unblocking Challenges: Opportunities and Policy Perspectives in human settlements</w:t>
      </w:r>
    </w:p>
    <w:p w14:paraId="4AA74482" w14:textId="77777777" w:rsidR="007F312F" w:rsidRPr="00502B58" w:rsidRDefault="007F312F" w:rsidP="00421EB9">
      <w:pPr>
        <w:spacing w:line="360" w:lineRule="auto"/>
        <w:jc w:val="center"/>
        <w:rPr>
          <w:rFonts w:cs="Arial"/>
          <w:b/>
          <w:bCs/>
          <w:sz w:val="24"/>
          <w:szCs w:val="24"/>
          <w:lang w:val="en-US"/>
        </w:rPr>
      </w:pPr>
    </w:p>
    <w:p w14:paraId="7A4134F7" w14:textId="77777777" w:rsidR="00421EB9" w:rsidRPr="00502B58" w:rsidRDefault="00421EB9" w:rsidP="002F3A2B">
      <w:pPr>
        <w:pStyle w:val="ListParagraph"/>
        <w:numPr>
          <w:ilvl w:val="0"/>
          <w:numId w:val="12"/>
        </w:numPr>
        <w:spacing w:line="360" w:lineRule="auto"/>
        <w:jc w:val="both"/>
        <w:rPr>
          <w:rFonts w:cs="Arial"/>
          <w:b/>
          <w:bCs/>
          <w:sz w:val="24"/>
          <w:szCs w:val="24"/>
        </w:rPr>
      </w:pPr>
      <w:r w:rsidRPr="00502B58">
        <w:rPr>
          <w:rFonts w:cs="Arial"/>
          <w:b/>
          <w:bCs/>
          <w:sz w:val="24"/>
          <w:szCs w:val="24"/>
        </w:rPr>
        <w:t>Introduction</w:t>
      </w:r>
    </w:p>
    <w:p w14:paraId="202711BC" w14:textId="7665E9F6" w:rsidR="0051111F" w:rsidRPr="00502B58" w:rsidRDefault="00506836" w:rsidP="00A70EB0">
      <w:pPr>
        <w:spacing w:line="360" w:lineRule="auto"/>
        <w:jc w:val="both"/>
        <w:rPr>
          <w:rFonts w:cs="Arial"/>
          <w:sz w:val="24"/>
          <w:szCs w:val="24"/>
        </w:rPr>
      </w:pPr>
      <w:r w:rsidRPr="00502B58">
        <w:rPr>
          <w:rFonts w:cs="Arial"/>
          <w:sz w:val="24"/>
          <w:szCs w:val="24"/>
        </w:rPr>
        <w:t xml:space="preserve">Government </w:t>
      </w:r>
      <w:r w:rsidR="00421EB9" w:rsidRPr="00502B58">
        <w:rPr>
          <w:rFonts w:cs="Arial"/>
          <w:sz w:val="24"/>
          <w:szCs w:val="24"/>
        </w:rPr>
        <w:t xml:space="preserve">has partnered with </w:t>
      </w:r>
      <w:r w:rsidRPr="00502B58">
        <w:rPr>
          <w:rFonts w:cs="Arial"/>
          <w:sz w:val="24"/>
          <w:szCs w:val="24"/>
        </w:rPr>
        <w:t>the p</w:t>
      </w:r>
      <w:r w:rsidR="00421EB9" w:rsidRPr="00502B58">
        <w:rPr>
          <w:rFonts w:cs="Arial"/>
          <w:sz w:val="24"/>
          <w:szCs w:val="24"/>
        </w:rPr>
        <w:t>rivate</w:t>
      </w:r>
      <w:r w:rsidR="00036973" w:rsidRPr="00502B58">
        <w:rPr>
          <w:rFonts w:cs="Arial"/>
          <w:sz w:val="24"/>
          <w:szCs w:val="24"/>
        </w:rPr>
        <w:t xml:space="preserve"> </w:t>
      </w:r>
      <w:r w:rsidRPr="00502B58">
        <w:rPr>
          <w:rFonts w:cs="Arial"/>
          <w:sz w:val="24"/>
          <w:szCs w:val="24"/>
        </w:rPr>
        <w:t xml:space="preserve">sector, traditional leaders and </w:t>
      </w:r>
      <w:r w:rsidR="00421EB9" w:rsidRPr="00502B58">
        <w:rPr>
          <w:rFonts w:cs="Arial"/>
          <w:sz w:val="24"/>
          <w:szCs w:val="24"/>
        </w:rPr>
        <w:t>civil society organisations to deliberate on different reforms that could be applied to ensure that the poor have</w:t>
      </w:r>
      <w:r w:rsidR="00CF132D" w:rsidRPr="00502B58">
        <w:rPr>
          <w:rFonts w:cs="Arial"/>
          <w:sz w:val="24"/>
          <w:szCs w:val="24"/>
        </w:rPr>
        <w:t xml:space="preserve"> access to adequate housing and</w:t>
      </w:r>
      <w:r w:rsidR="00421EB9" w:rsidRPr="00502B58">
        <w:rPr>
          <w:rFonts w:cs="Arial"/>
          <w:sz w:val="24"/>
          <w:szCs w:val="24"/>
        </w:rPr>
        <w:t xml:space="preserve"> security </w:t>
      </w:r>
      <w:r w:rsidR="00CF132D" w:rsidRPr="00502B58">
        <w:rPr>
          <w:rFonts w:cs="Arial"/>
          <w:sz w:val="24"/>
          <w:szCs w:val="24"/>
        </w:rPr>
        <w:t>of</w:t>
      </w:r>
      <w:r w:rsidR="00421EB9" w:rsidRPr="00502B58">
        <w:rPr>
          <w:rFonts w:cs="Arial"/>
          <w:sz w:val="24"/>
          <w:szCs w:val="24"/>
        </w:rPr>
        <w:t xml:space="preserve"> tenure. A symposium has been organised by the </w:t>
      </w:r>
      <w:r w:rsidR="00050FAA" w:rsidRPr="00502B58">
        <w:rPr>
          <w:rFonts w:cs="Arial"/>
          <w:sz w:val="24"/>
          <w:szCs w:val="24"/>
        </w:rPr>
        <w:t>Department of</w:t>
      </w:r>
      <w:r w:rsidRPr="00502B58">
        <w:rPr>
          <w:rFonts w:cs="Arial"/>
          <w:sz w:val="24"/>
          <w:szCs w:val="24"/>
        </w:rPr>
        <w:t xml:space="preserve"> Human Settlements </w:t>
      </w:r>
      <w:r w:rsidR="00421EB9" w:rsidRPr="00502B58">
        <w:rPr>
          <w:rFonts w:cs="Arial"/>
          <w:sz w:val="24"/>
          <w:szCs w:val="24"/>
        </w:rPr>
        <w:t xml:space="preserve">to enable </w:t>
      </w:r>
      <w:r w:rsidR="00050FAA" w:rsidRPr="00502B58">
        <w:rPr>
          <w:sz w:val="24"/>
          <w:szCs w:val="24"/>
        </w:rPr>
        <w:t xml:space="preserve">focused </w:t>
      </w:r>
      <w:r w:rsidR="00421EB9" w:rsidRPr="00502B58">
        <w:rPr>
          <w:rFonts w:cs="Arial"/>
          <w:sz w:val="24"/>
          <w:szCs w:val="24"/>
        </w:rPr>
        <w:t>discussion</w:t>
      </w:r>
      <w:r w:rsidRPr="00502B58">
        <w:rPr>
          <w:rFonts w:cs="Arial"/>
          <w:sz w:val="24"/>
          <w:szCs w:val="24"/>
        </w:rPr>
        <w:t>s</w:t>
      </w:r>
      <w:r w:rsidR="0051111F" w:rsidRPr="00502B58">
        <w:rPr>
          <w:rFonts w:cs="Arial"/>
          <w:sz w:val="24"/>
          <w:szCs w:val="24"/>
        </w:rPr>
        <w:t>.</w:t>
      </w:r>
      <w:r w:rsidR="00997D71" w:rsidRPr="00502B58">
        <w:rPr>
          <w:rFonts w:cs="Arial"/>
          <w:sz w:val="24"/>
          <w:szCs w:val="24"/>
        </w:rPr>
        <w:t xml:space="preserve"> The symposium will serve as a platform for </w:t>
      </w:r>
      <w:r w:rsidR="00E25E05" w:rsidRPr="00502B58">
        <w:rPr>
          <w:rFonts w:cs="Arial"/>
          <w:sz w:val="24"/>
          <w:szCs w:val="24"/>
        </w:rPr>
        <w:t>discussing and</w:t>
      </w:r>
      <w:r w:rsidR="00637E9E" w:rsidRPr="00502B58">
        <w:rPr>
          <w:rFonts w:cs="Arial"/>
          <w:sz w:val="24"/>
          <w:szCs w:val="24"/>
        </w:rPr>
        <w:t xml:space="preserve"> consolidating</w:t>
      </w:r>
      <w:r w:rsidR="00C14461" w:rsidRPr="00502B58">
        <w:rPr>
          <w:rFonts w:cs="Arial"/>
          <w:sz w:val="24"/>
          <w:szCs w:val="24"/>
        </w:rPr>
        <w:t xml:space="preserve"> </w:t>
      </w:r>
      <w:r w:rsidR="00997D71" w:rsidRPr="00502B58">
        <w:rPr>
          <w:rFonts w:cs="Arial"/>
          <w:sz w:val="24"/>
          <w:szCs w:val="24"/>
        </w:rPr>
        <w:t xml:space="preserve">critical works that are </w:t>
      </w:r>
      <w:r w:rsidR="001B2698" w:rsidRPr="00502B58">
        <w:rPr>
          <w:rFonts w:cs="Arial"/>
          <w:sz w:val="24"/>
          <w:szCs w:val="24"/>
        </w:rPr>
        <w:t xml:space="preserve">contained </w:t>
      </w:r>
      <w:r w:rsidR="00997D71" w:rsidRPr="00502B58">
        <w:rPr>
          <w:rFonts w:cs="Arial"/>
          <w:sz w:val="24"/>
          <w:szCs w:val="24"/>
        </w:rPr>
        <w:t>in the Cabinet approved White Paper for Human Settlements and work towards developing the</w:t>
      </w:r>
      <w:r w:rsidR="00C14461" w:rsidRPr="00502B58">
        <w:rPr>
          <w:rFonts w:cs="Arial"/>
          <w:sz w:val="24"/>
          <w:szCs w:val="24"/>
        </w:rPr>
        <w:t xml:space="preserve"> provisions of the</w:t>
      </w:r>
      <w:r w:rsidR="00997D71" w:rsidRPr="00502B58">
        <w:rPr>
          <w:rFonts w:cs="Arial"/>
          <w:sz w:val="24"/>
          <w:szCs w:val="24"/>
        </w:rPr>
        <w:t xml:space="preserve"> Human Settlements </w:t>
      </w:r>
      <w:r w:rsidR="00C14461" w:rsidRPr="00502B58">
        <w:rPr>
          <w:rFonts w:cs="Arial"/>
          <w:sz w:val="24"/>
          <w:szCs w:val="24"/>
        </w:rPr>
        <w:t>B</w:t>
      </w:r>
      <w:r w:rsidR="00997D71" w:rsidRPr="00502B58">
        <w:rPr>
          <w:rFonts w:cs="Arial"/>
          <w:sz w:val="24"/>
          <w:szCs w:val="24"/>
        </w:rPr>
        <w:t xml:space="preserve">ill and </w:t>
      </w:r>
      <w:r w:rsidR="001B2698" w:rsidRPr="00502B58">
        <w:rPr>
          <w:rFonts w:cs="Arial"/>
          <w:sz w:val="24"/>
          <w:szCs w:val="24"/>
        </w:rPr>
        <w:t>its regulations</w:t>
      </w:r>
      <w:r w:rsidR="00BC4F6A" w:rsidRPr="00502B58">
        <w:rPr>
          <w:rFonts w:cs="Arial"/>
          <w:sz w:val="24"/>
          <w:szCs w:val="24"/>
        </w:rPr>
        <w:t xml:space="preserve">/ </w:t>
      </w:r>
      <w:r w:rsidR="00997D71" w:rsidRPr="00502B58">
        <w:rPr>
          <w:rFonts w:cs="Arial"/>
          <w:sz w:val="24"/>
          <w:szCs w:val="24"/>
        </w:rPr>
        <w:t>code. </w:t>
      </w:r>
    </w:p>
    <w:p w14:paraId="48BE6376" w14:textId="52B90EBB" w:rsidR="0082614C" w:rsidRPr="00502B58" w:rsidRDefault="0082614C" w:rsidP="002F3A2B">
      <w:pPr>
        <w:pStyle w:val="ListParagraph"/>
        <w:numPr>
          <w:ilvl w:val="0"/>
          <w:numId w:val="12"/>
        </w:numPr>
        <w:spacing w:line="360" w:lineRule="auto"/>
        <w:rPr>
          <w:rFonts w:cs="Arial"/>
          <w:b/>
          <w:bCs/>
          <w:sz w:val="24"/>
          <w:szCs w:val="24"/>
        </w:rPr>
      </w:pPr>
      <w:r w:rsidRPr="00502B58">
        <w:rPr>
          <w:rFonts w:cs="Arial"/>
          <w:b/>
          <w:bCs/>
          <w:sz w:val="24"/>
          <w:szCs w:val="24"/>
        </w:rPr>
        <w:t>Background</w:t>
      </w:r>
    </w:p>
    <w:p w14:paraId="4AFA80C1" w14:textId="77777777" w:rsidR="0082614C" w:rsidRPr="00502B58" w:rsidRDefault="0082614C" w:rsidP="0082614C">
      <w:pPr>
        <w:spacing w:line="360" w:lineRule="auto"/>
        <w:jc w:val="both"/>
        <w:rPr>
          <w:rFonts w:cs="Arial"/>
          <w:sz w:val="24"/>
          <w:szCs w:val="24"/>
        </w:rPr>
      </w:pPr>
      <w:r w:rsidRPr="00502B58">
        <w:rPr>
          <w:rFonts w:cs="Arial"/>
          <w:sz w:val="24"/>
          <w:szCs w:val="24"/>
        </w:rPr>
        <w:t xml:space="preserve">Since 1994, numerous policy and statutory developments gave effect to the approach to housing. These include the Reconstruction and Development Programme (RDP) of 1994; the Growth, Employment and Redistribution (GEAR) Strategy of 1996; the Accelerated and Shared Growth Initiative – South Africa (ASGI-SA) of 2005, and the Housing Act, 1997 (Act No. 107 of 1997). The two fundamental documents which gave content to the National Department’s mandate included the New Housing Policy and Strategy for South Africa: White Paper, 1994 and the Comprehensive Plan for the Development of Sustainable Human Settlements, 2004. </w:t>
      </w:r>
    </w:p>
    <w:p w14:paraId="072A529E" w14:textId="77777777" w:rsidR="0082614C" w:rsidRPr="00502B58" w:rsidRDefault="0082614C" w:rsidP="0082614C">
      <w:pPr>
        <w:spacing w:line="360" w:lineRule="auto"/>
        <w:jc w:val="both"/>
        <w:rPr>
          <w:rFonts w:cs="Arial"/>
          <w:sz w:val="24"/>
          <w:szCs w:val="24"/>
        </w:rPr>
      </w:pPr>
      <w:r w:rsidRPr="00502B58">
        <w:rPr>
          <w:rFonts w:cs="Arial"/>
          <w:sz w:val="24"/>
          <w:szCs w:val="24"/>
        </w:rPr>
        <w:t xml:space="preserve">When the Constitution of the Republic of South Africa was enacted in 1996 it cemented the role of the Department, with section 26 outlining the role: “(1) Everyone has the right to have access to adequate housing, (2) The state must take reasonable legislative and </w:t>
      </w:r>
      <w:r w:rsidRPr="00502B58">
        <w:rPr>
          <w:rFonts w:cs="Arial"/>
          <w:sz w:val="24"/>
          <w:szCs w:val="24"/>
        </w:rPr>
        <w:lastRenderedPageBreak/>
        <w:t>other measures, within its available resources, to achieve the progressive realisation of this right.”</w:t>
      </w:r>
    </w:p>
    <w:p w14:paraId="7DB03D74" w14:textId="77777777" w:rsidR="0082614C" w:rsidRPr="00502B58" w:rsidRDefault="0082614C" w:rsidP="0082614C">
      <w:pPr>
        <w:spacing w:line="360" w:lineRule="auto"/>
        <w:jc w:val="both"/>
        <w:rPr>
          <w:rFonts w:cs="Arial"/>
          <w:sz w:val="24"/>
          <w:szCs w:val="24"/>
        </w:rPr>
      </w:pPr>
      <w:r w:rsidRPr="00502B58">
        <w:rPr>
          <w:rFonts w:cs="Arial"/>
          <w:sz w:val="24"/>
          <w:szCs w:val="24"/>
        </w:rPr>
        <w:t xml:space="preserve">The 1994 White Paper’s vision was to establish viable, socially and economically integrated communities, situated in areas allowing convenient access to economic opportunities, as well as to health, educational and social amenities in which all South Africans will, on a progressive basis, have access to: (a) permanent residential structures with secure tenure ensuring internal and external privacy and providing adequate protection against the elements; and (b) potable water, adequate sanitary facilities and domestic energy supply. The 1994 White Paper set out seven key strategies </w:t>
      </w:r>
    </w:p>
    <w:p w14:paraId="6D3284F9" w14:textId="77777777" w:rsidR="0082614C" w:rsidRPr="00502B58" w:rsidRDefault="0082614C" w:rsidP="0082614C">
      <w:pPr>
        <w:pStyle w:val="ListParagraph"/>
        <w:numPr>
          <w:ilvl w:val="0"/>
          <w:numId w:val="1"/>
        </w:numPr>
        <w:spacing w:line="360" w:lineRule="auto"/>
        <w:jc w:val="both"/>
        <w:rPr>
          <w:rFonts w:cs="Arial"/>
          <w:sz w:val="24"/>
          <w:szCs w:val="24"/>
        </w:rPr>
      </w:pPr>
      <w:r w:rsidRPr="00502B58">
        <w:rPr>
          <w:rFonts w:cs="Arial"/>
          <w:sz w:val="24"/>
          <w:szCs w:val="24"/>
        </w:rPr>
        <w:t>Stabilising the housing environment to ensure maximum benefit of State housing expenditure and facilitate the mobilisation of private sector investment.</w:t>
      </w:r>
    </w:p>
    <w:p w14:paraId="46242BC8" w14:textId="77777777" w:rsidR="0082614C" w:rsidRPr="00502B58" w:rsidRDefault="0082614C" w:rsidP="0082614C">
      <w:pPr>
        <w:pStyle w:val="ListParagraph"/>
        <w:numPr>
          <w:ilvl w:val="0"/>
          <w:numId w:val="1"/>
        </w:numPr>
        <w:spacing w:line="360" w:lineRule="auto"/>
        <w:jc w:val="both"/>
        <w:rPr>
          <w:rFonts w:cs="Arial"/>
          <w:sz w:val="24"/>
          <w:szCs w:val="24"/>
        </w:rPr>
      </w:pPr>
      <w:r w:rsidRPr="00502B58">
        <w:rPr>
          <w:rFonts w:cs="Arial"/>
          <w:sz w:val="24"/>
          <w:szCs w:val="24"/>
        </w:rPr>
        <w:t>Mobilising housing credit and private savings (whether by individuals or collectively) at scale, on a sustainable basis and simultaneously ensuring adequate protection for consumers.</w:t>
      </w:r>
    </w:p>
    <w:p w14:paraId="74B08413" w14:textId="77777777" w:rsidR="0082614C" w:rsidRPr="00502B58" w:rsidRDefault="0082614C" w:rsidP="0082614C">
      <w:pPr>
        <w:pStyle w:val="ListParagraph"/>
        <w:numPr>
          <w:ilvl w:val="0"/>
          <w:numId w:val="1"/>
        </w:numPr>
        <w:spacing w:line="360" w:lineRule="auto"/>
        <w:jc w:val="both"/>
        <w:rPr>
          <w:rFonts w:cs="Arial"/>
          <w:sz w:val="24"/>
          <w:szCs w:val="24"/>
        </w:rPr>
      </w:pPr>
      <w:r w:rsidRPr="00502B58">
        <w:rPr>
          <w:rFonts w:cs="Arial"/>
          <w:sz w:val="24"/>
          <w:szCs w:val="24"/>
        </w:rPr>
        <w:t>Providing subsidy assistance to disadvantaged households to assist them to gain access to housing.</w:t>
      </w:r>
    </w:p>
    <w:p w14:paraId="32C7C6BD" w14:textId="77777777" w:rsidR="0082614C" w:rsidRPr="00502B58" w:rsidRDefault="0082614C" w:rsidP="0082614C">
      <w:pPr>
        <w:pStyle w:val="ListParagraph"/>
        <w:numPr>
          <w:ilvl w:val="0"/>
          <w:numId w:val="1"/>
        </w:numPr>
        <w:spacing w:line="360" w:lineRule="auto"/>
        <w:jc w:val="both"/>
        <w:rPr>
          <w:rFonts w:cs="Arial"/>
          <w:sz w:val="24"/>
          <w:szCs w:val="24"/>
        </w:rPr>
      </w:pPr>
      <w:r w:rsidRPr="00502B58">
        <w:rPr>
          <w:rFonts w:cs="Arial"/>
          <w:sz w:val="24"/>
          <w:szCs w:val="24"/>
        </w:rPr>
        <w:t xml:space="preserve">Supporting the people’s housing process entailing a support programme to assist people who wish to build or organise the building of their homes themselves.  </w:t>
      </w:r>
    </w:p>
    <w:p w14:paraId="352001A0" w14:textId="77777777" w:rsidR="0082614C" w:rsidRPr="00502B58" w:rsidRDefault="0082614C" w:rsidP="0082614C">
      <w:pPr>
        <w:pStyle w:val="ListParagraph"/>
        <w:numPr>
          <w:ilvl w:val="0"/>
          <w:numId w:val="1"/>
        </w:numPr>
        <w:spacing w:line="360" w:lineRule="auto"/>
        <w:jc w:val="both"/>
        <w:rPr>
          <w:rFonts w:cs="Arial"/>
          <w:sz w:val="24"/>
          <w:szCs w:val="24"/>
        </w:rPr>
      </w:pPr>
      <w:r w:rsidRPr="00502B58">
        <w:rPr>
          <w:rFonts w:cs="Arial"/>
          <w:sz w:val="24"/>
          <w:szCs w:val="24"/>
        </w:rPr>
        <w:t>Rationalising institutional capacities in the housing sector within a sustainable long-term institutional framework.</w:t>
      </w:r>
    </w:p>
    <w:p w14:paraId="27EB1D1C" w14:textId="77777777" w:rsidR="0082614C" w:rsidRPr="00502B58" w:rsidRDefault="0082614C" w:rsidP="0082614C">
      <w:pPr>
        <w:pStyle w:val="ListParagraph"/>
        <w:numPr>
          <w:ilvl w:val="0"/>
          <w:numId w:val="1"/>
        </w:numPr>
        <w:spacing w:line="360" w:lineRule="auto"/>
        <w:jc w:val="both"/>
        <w:rPr>
          <w:rFonts w:cs="Arial"/>
          <w:sz w:val="24"/>
          <w:szCs w:val="24"/>
        </w:rPr>
      </w:pPr>
      <w:r w:rsidRPr="00502B58">
        <w:rPr>
          <w:rFonts w:cs="Arial"/>
          <w:sz w:val="24"/>
          <w:szCs w:val="24"/>
        </w:rPr>
        <w:t>Facilitating speedy release and servicing of land.</w:t>
      </w:r>
    </w:p>
    <w:p w14:paraId="01C887AE" w14:textId="77777777" w:rsidR="0082614C" w:rsidRPr="00502B58" w:rsidRDefault="0082614C" w:rsidP="0082614C">
      <w:pPr>
        <w:pStyle w:val="ListParagraph"/>
        <w:numPr>
          <w:ilvl w:val="0"/>
          <w:numId w:val="1"/>
        </w:numPr>
        <w:spacing w:line="360" w:lineRule="auto"/>
        <w:jc w:val="both"/>
        <w:rPr>
          <w:rFonts w:cs="Arial"/>
          <w:sz w:val="24"/>
          <w:szCs w:val="24"/>
        </w:rPr>
      </w:pPr>
      <w:r w:rsidRPr="00502B58">
        <w:rPr>
          <w:rFonts w:cs="Arial"/>
          <w:sz w:val="24"/>
          <w:szCs w:val="24"/>
        </w:rPr>
        <w:t>Co-ordinating and integrating public sector investment and intervention on a multi-functional basis.</w:t>
      </w:r>
    </w:p>
    <w:p w14:paraId="0509BCC9" w14:textId="77777777" w:rsidR="0082614C" w:rsidRPr="00502B58" w:rsidRDefault="0082614C" w:rsidP="0082614C">
      <w:pPr>
        <w:pStyle w:val="ListParagraph"/>
        <w:spacing w:line="360" w:lineRule="auto"/>
        <w:ind w:left="0"/>
        <w:jc w:val="both"/>
        <w:rPr>
          <w:rFonts w:cs="Arial"/>
          <w:sz w:val="24"/>
          <w:szCs w:val="24"/>
        </w:rPr>
      </w:pPr>
    </w:p>
    <w:p w14:paraId="619C22B1" w14:textId="1535F595" w:rsidR="0082614C" w:rsidRPr="00502B58" w:rsidRDefault="0082614C" w:rsidP="0082614C">
      <w:pPr>
        <w:pStyle w:val="ListParagraph"/>
        <w:spacing w:line="360" w:lineRule="auto"/>
        <w:ind w:left="0"/>
        <w:jc w:val="both"/>
        <w:rPr>
          <w:rFonts w:cs="Arial"/>
          <w:sz w:val="24"/>
          <w:szCs w:val="24"/>
        </w:rPr>
      </w:pPr>
      <w:r w:rsidRPr="00502B58">
        <w:rPr>
          <w:rFonts w:cs="Arial"/>
          <w:sz w:val="24"/>
          <w:szCs w:val="24"/>
        </w:rPr>
        <w:t>The approval of the 1994 White Paper enabled the development of crucial policy documents by the Department</w:t>
      </w:r>
      <w:r w:rsidR="002A30E3" w:rsidRPr="00502B58">
        <w:rPr>
          <w:rFonts w:cs="Arial"/>
          <w:sz w:val="24"/>
          <w:szCs w:val="24"/>
        </w:rPr>
        <w:t xml:space="preserve"> of Human Settlements</w:t>
      </w:r>
      <w:r w:rsidR="0037581D" w:rsidRPr="00502B58">
        <w:rPr>
          <w:rFonts w:cs="Arial"/>
          <w:sz w:val="24"/>
          <w:szCs w:val="24"/>
        </w:rPr>
        <w:t xml:space="preserve"> namely</w:t>
      </w:r>
      <w:r w:rsidRPr="00502B58">
        <w:rPr>
          <w:rFonts w:cs="Arial"/>
          <w:sz w:val="24"/>
          <w:szCs w:val="24"/>
        </w:rPr>
        <w:t xml:space="preserve"> 1) The National Housing Code, w</w:t>
      </w:r>
      <w:r w:rsidR="0037581D" w:rsidRPr="00502B58">
        <w:rPr>
          <w:rFonts w:cs="Arial"/>
          <w:sz w:val="24"/>
          <w:szCs w:val="24"/>
        </w:rPr>
        <w:t xml:space="preserve">hose </w:t>
      </w:r>
      <w:r w:rsidR="009B0772" w:rsidRPr="00502B58">
        <w:rPr>
          <w:rFonts w:cs="Arial"/>
          <w:sz w:val="24"/>
          <w:szCs w:val="24"/>
        </w:rPr>
        <w:t>purpose is</w:t>
      </w:r>
      <w:r w:rsidR="0037581D" w:rsidRPr="00502B58">
        <w:rPr>
          <w:rFonts w:cs="Arial"/>
          <w:sz w:val="24"/>
          <w:szCs w:val="24"/>
        </w:rPr>
        <w:t xml:space="preserve"> </w:t>
      </w:r>
      <w:r w:rsidRPr="00502B58">
        <w:rPr>
          <w:rFonts w:cs="Arial"/>
          <w:sz w:val="24"/>
          <w:szCs w:val="24"/>
        </w:rPr>
        <w:t xml:space="preserve">to set out clearly, the National Housing Policy of South Africa. The National Housing Policy comprises of an overall vision for housing in South Africa and the way in which this vision should be implemented. The requirements for the establishment of the National Housing Code are set out in Section 4 of the Housing Act, 1997 (Act No. 107 of 1997). This Act requires the Minister of Housing to publish the </w:t>
      </w:r>
      <w:r w:rsidRPr="00502B58">
        <w:rPr>
          <w:rFonts w:cs="Arial"/>
          <w:sz w:val="24"/>
          <w:szCs w:val="24"/>
        </w:rPr>
        <w:lastRenderedPageBreak/>
        <w:t>National Housing Code. The code must contain National Housing Policy and administrative guidelines, to facilitate the effective implementation of the National Housing Policy. 2) then the Comprehensive Plan for the Creation of Sustainable Human Settlements was introduced and formalised the shift in the department’s approach from providing housing to developing sustainable human settlements and outlines a plan for the development of sustainable human settlements. The Comprehensive Plan introduced several new programmes to strengthen the strategic objectives of the Department. The plan recognises that the supply of state-assisted housing must respond to housing demand, and that this relationship is best packaged at a local level.</w:t>
      </w:r>
    </w:p>
    <w:p w14:paraId="3DEBCF8F" w14:textId="77777777" w:rsidR="0082614C" w:rsidRPr="00502B58" w:rsidRDefault="0082614C" w:rsidP="0082614C">
      <w:pPr>
        <w:pStyle w:val="ListParagraph"/>
        <w:spacing w:line="360" w:lineRule="auto"/>
        <w:ind w:left="0"/>
        <w:jc w:val="both"/>
        <w:rPr>
          <w:rFonts w:cs="Arial"/>
          <w:sz w:val="24"/>
          <w:szCs w:val="24"/>
        </w:rPr>
      </w:pPr>
    </w:p>
    <w:p w14:paraId="1A8687C1" w14:textId="77777777" w:rsidR="0082614C" w:rsidRPr="00502B58" w:rsidRDefault="0082614C" w:rsidP="0082614C">
      <w:pPr>
        <w:pStyle w:val="ListParagraph"/>
        <w:spacing w:line="360" w:lineRule="auto"/>
        <w:ind w:left="0"/>
        <w:jc w:val="both"/>
        <w:rPr>
          <w:rFonts w:cs="Arial"/>
          <w:sz w:val="24"/>
          <w:szCs w:val="24"/>
        </w:rPr>
      </w:pPr>
      <w:r w:rsidRPr="00502B58">
        <w:rPr>
          <w:rFonts w:cs="Arial"/>
          <w:sz w:val="24"/>
          <w:szCs w:val="24"/>
        </w:rPr>
        <w:t xml:space="preserve">Various investigations, research, reviews and evaluations on human settlements policy and programmes identified numerous shortcomings related to gaps in policy and divergence in programme implementation. Among the influencing factors is the increasing rate of population growth, evolving housing environment, the prevailing effects of climate change, and technological advancement which continuously bring to light the shortcomings of the current human settlements policies, regulations, and legislation to provide an enabling environment for the development of the integrated and sustainable human settlements. </w:t>
      </w:r>
    </w:p>
    <w:p w14:paraId="5F2321C4" w14:textId="77777777" w:rsidR="00FF01F2" w:rsidRPr="00502B58" w:rsidRDefault="00FF01F2" w:rsidP="0082614C">
      <w:pPr>
        <w:pStyle w:val="ListParagraph"/>
        <w:spacing w:line="360" w:lineRule="auto"/>
        <w:ind w:left="0"/>
        <w:jc w:val="both"/>
        <w:rPr>
          <w:rFonts w:cs="Arial"/>
          <w:sz w:val="24"/>
          <w:szCs w:val="24"/>
        </w:rPr>
      </w:pPr>
    </w:p>
    <w:p w14:paraId="695E282B" w14:textId="7FFDAF13" w:rsidR="00EF2F27" w:rsidRPr="00502B58" w:rsidRDefault="0082614C" w:rsidP="00EF2F27">
      <w:pPr>
        <w:spacing w:line="360" w:lineRule="auto"/>
        <w:jc w:val="both"/>
        <w:rPr>
          <w:rFonts w:cs="Arial"/>
          <w:sz w:val="24"/>
          <w:szCs w:val="24"/>
        </w:rPr>
      </w:pPr>
      <w:r w:rsidRPr="00502B58">
        <w:rPr>
          <w:rFonts w:cs="Arial"/>
          <w:sz w:val="24"/>
          <w:szCs w:val="24"/>
        </w:rPr>
        <w:t xml:space="preserve">Thirty years later after the adoption of the 1994 White Paper on Housing, </w:t>
      </w:r>
      <w:r w:rsidR="00EF2F27" w:rsidRPr="00502B58">
        <w:rPr>
          <w:rFonts w:cs="Arial"/>
          <w:sz w:val="24"/>
          <w:szCs w:val="24"/>
        </w:rPr>
        <w:t>Cabinet approved the White Paper for Human Settlements in December 2024 with an emphasis on vulnerable, poor and missing middle of our society. This Policy anchors that the development of sustainable human settlements is a spatial assertion premised on the integration of (four) 4 key elements: namely, physical elements (infrastructure, services, and housing); land use patterns; operational and governance relations; and socio-economic patterns.</w:t>
      </w:r>
    </w:p>
    <w:p w14:paraId="065DA690" w14:textId="77777777" w:rsidR="0082614C" w:rsidRPr="00502B58" w:rsidRDefault="0082614C" w:rsidP="0082614C">
      <w:pPr>
        <w:pStyle w:val="ListParagraph"/>
        <w:spacing w:line="360" w:lineRule="auto"/>
        <w:ind w:left="0"/>
        <w:jc w:val="both"/>
        <w:rPr>
          <w:rFonts w:cs="Arial"/>
          <w:sz w:val="24"/>
          <w:szCs w:val="24"/>
        </w:rPr>
      </w:pPr>
    </w:p>
    <w:p w14:paraId="51CBA4A0" w14:textId="32F4223D" w:rsidR="0082614C" w:rsidRPr="00502B58" w:rsidRDefault="0082614C" w:rsidP="0082614C">
      <w:pPr>
        <w:pStyle w:val="ListParagraph"/>
        <w:spacing w:line="360" w:lineRule="auto"/>
        <w:ind w:left="0"/>
        <w:jc w:val="both"/>
        <w:rPr>
          <w:rFonts w:cs="Arial"/>
          <w:sz w:val="24"/>
          <w:szCs w:val="24"/>
        </w:rPr>
      </w:pPr>
      <w:r w:rsidRPr="00502B58">
        <w:rPr>
          <w:rFonts w:cs="Arial"/>
          <w:sz w:val="24"/>
          <w:szCs w:val="24"/>
        </w:rPr>
        <w:t xml:space="preserve">There </w:t>
      </w:r>
      <w:r w:rsidR="00EF2F27" w:rsidRPr="00502B58">
        <w:rPr>
          <w:rFonts w:cs="Arial"/>
          <w:sz w:val="24"/>
          <w:szCs w:val="24"/>
        </w:rPr>
        <w:t>White Paper advocate</w:t>
      </w:r>
      <w:r w:rsidR="00842465" w:rsidRPr="00502B58">
        <w:rPr>
          <w:rFonts w:cs="Arial"/>
          <w:sz w:val="24"/>
          <w:szCs w:val="24"/>
        </w:rPr>
        <w:t>s</w:t>
      </w:r>
      <w:r w:rsidR="00EF2F27" w:rsidRPr="00502B58">
        <w:rPr>
          <w:rFonts w:cs="Arial"/>
          <w:sz w:val="24"/>
          <w:szCs w:val="24"/>
        </w:rPr>
        <w:t xml:space="preserve"> for </w:t>
      </w:r>
      <w:r w:rsidRPr="00502B58">
        <w:rPr>
          <w:rFonts w:cs="Arial"/>
          <w:sz w:val="24"/>
          <w:szCs w:val="24"/>
        </w:rPr>
        <w:t xml:space="preserve">moving beyond the previous state-centred paradigm of new housing delivery towards more of an enabling, supporting, coordinating and regulating role in creating and sustaining viable and vibrant human settlements, where </w:t>
      </w:r>
      <w:r w:rsidRPr="00502B58">
        <w:rPr>
          <w:rFonts w:cs="Arial"/>
          <w:sz w:val="24"/>
          <w:szCs w:val="24"/>
        </w:rPr>
        <w:lastRenderedPageBreak/>
        <w:t xml:space="preserve">government recognises its limitations and actively seeks to harness the energy, expertise and capabilities of many other actors in ambitious and pragmatic ways. </w:t>
      </w:r>
    </w:p>
    <w:p w14:paraId="15D4E7FF" w14:textId="77777777" w:rsidR="002F3A2B" w:rsidRPr="00502B58" w:rsidRDefault="002F3A2B" w:rsidP="0082614C">
      <w:pPr>
        <w:pStyle w:val="ListParagraph"/>
        <w:spacing w:line="360" w:lineRule="auto"/>
        <w:ind w:left="0"/>
        <w:jc w:val="both"/>
        <w:rPr>
          <w:rFonts w:cs="Arial"/>
          <w:sz w:val="24"/>
          <w:szCs w:val="24"/>
        </w:rPr>
      </w:pPr>
    </w:p>
    <w:p w14:paraId="70F67FB8" w14:textId="77777777" w:rsidR="00956EE8" w:rsidRPr="00502B58" w:rsidRDefault="0051111F" w:rsidP="002F3A2B">
      <w:pPr>
        <w:pStyle w:val="ListParagraph"/>
        <w:numPr>
          <w:ilvl w:val="0"/>
          <w:numId w:val="12"/>
        </w:numPr>
        <w:spacing w:line="360" w:lineRule="auto"/>
        <w:jc w:val="both"/>
        <w:rPr>
          <w:rFonts w:cs="Arial"/>
          <w:sz w:val="24"/>
          <w:szCs w:val="24"/>
        </w:rPr>
      </w:pPr>
      <w:r w:rsidRPr="00502B58">
        <w:rPr>
          <w:rFonts w:cs="Arial"/>
          <w:b/>
          <w:bCs/>
          <w:sz w:val="24"/>
          <w:szCs w:val="24"/>
        </w:rPr>
        <w:t>Problem Statement</w:t>
      </w:r>
    </w:p>
    <w:p w14:paraId="0C660B5D" w14:textId="689ECE59" w:rsidR="00E11C2F" w:rsidRPr="00502B58" w:rsidRDefault="007F43BD" w:rsidP="00EF2F27">
      <w:pPr>
        <w:spacing w:line="360" w:lineRule="auto"/>
        <w:jc w:val="both"/>
        <w:rPr>
          <w:rFonts w:cs="Arial"/>
          <w:b/>
          <w:bCs/>
          <w:sz w:val="24"/>
          <w:szCs w:val="24"/>
        </w:rPr>
      </w:pPr>
      <w:r w:rsidRPr="00502B58">
        <w:rPr>
          <w:rFonts w:cs="Arial"/>
          <w:sz w:val="24"/>
          <w:szCs w:val="24"/>
        </w:rPr>
        <w:t xml:space="preserve">The inability to show proof of ownership and title deeds contribute to rising inequality, limits economic growth, deepens poverty. This has created tensions between various stakeholders. </w:t>
      </w:r>
      <w:r w:rsidR="00A70EB0" w:rsidRPr="00502B58">
        <w:rPr>
          <w:rFonts w:cs="Arial"/>
          <w:sz w:val="24"/>
          <w:szCs w:val="24"/>
        </w:rPr>
        <w:t>Some stakeholders have cauti</w:t>
      </w:r>
      <w:r w:rsidR="00DE2CCD" w:rsidRPr="00502B58">
        <w:rPr>
          <w:rFonts w:cs="Arial"/>
          <w:sz w:val="24"/>
          <w:szCs w:val="24"/>
        </w:rPr>
        <w:t xml:space="preserve">oned government </w:t>
      </w:r>
      <w:r w:rsidR="00956EE8" w:rsidRPr="00502B58">
        <w:rPr>
          <w:rFonts w:cs="Arial"/>
          <w:sz w:val="24"/>
          <w:szCs w:val="24"/>
        </w:rPr>
        <w:t>that too</w:t>
      </w:r>
      <w:r w:rsidR="00DE2CCD" w:rsidRPr="00502B58">
        <w:rPr>
          <w:rFonts w:cs="Arial"/>
          <w:sz w:val="24"/>
          <w:szCs w:val="24"/>
        </w:rPr>
        <w:t xml:space="preserve"> </w:t>
      </w:r>
      <w:r w:rsidRPr="00502B58">
        <w:rPr>
          <w:sz w:val="24"/>
          <w:szCs w:val="24"/>
        </w:rPr>
        <w:t xml:space="preserve">public </w:t>
      </w:r>
      <w:r w:rsidR="00EF2F27" w:rsidRPr="00502B58">
        <w:rPr>
          <w:sz w:val="24"/>
          <w:szCs w:val="24"/>
        </w:rPr>
        <w:t>attention is</w:t>
      </w:r>
      <w:r w:rsidR="00DE2CCD" w:rsidRPr="00502B58">
        <w:rPr>
          <w:sz w:val="24"/>
          <w:szCs w:val="24"/>
        </w:rPr>
        <w:t xml:space="preserve"> directed at</w:t>
      </w:r>
      <w:r w:rsidRPr="00502B58">
        <w:rPr>
          <w:sz w:val="24"/>
          <w:szCs w:val="24"/>
        </w:rPr>
        <w:t xml:space="preserve"> inadequate delivery of state-built RDP houses, and the mushrooming of informal settlements. Less attention is paid to the myriad problems arising from </w:t>
      </w:r>
      <w:r w:rsidR="005A1AB9" w:rsidRPr="00502B58">
        <w:rPr>
          <w:sz w:val="24"/>
          <w:szCs w:val="24"/>
        </w:rPr>
        <w:t>planning approval</w:t>
      </w:r>
      <w:r w:rsidR="000E7D41" w:rsidRPr="00502B58">
        <w:rPr>
          <w:sz w:val="24"/>
          <w:szCs w:val="24"/>
        </w:rPr>
        <w:t xml:space="preserve"> and inability </w:t>
      </w:r>
      <w:r w:rsidR="00C12CFA" w:rsidRPr="00502B58">
        <w:rPr>
          <w:sz w:val="24"/>
          <w:szCs w:val="24"/>
        </w:rPr>
        <w:t>to transfer</w:t>
      </w:r>
      <w:r w:rsidRPr="00502B58">
        <w:rPr>
          <w:sz w:val="24"/>
          <w:szCs w:val="24"/>
        </w:rPr>
        <w:t xml:space="preserve"> </w:t>
      </w:r>
      <w:r w:rsidR="00467C0A" w:rsidRPr="00502B58">
        <w:rPr>
          <w:sz w:val="24"/>
          <w:szCs w:val="24"/>
        </w:rPr>
        <w:t>title deeds and ownership rights</w:t>
      </w:r>
      <w:r w:rsidR="00BA3B44" w:rsidRPr="00502B58">
        <w:rPr>
          <w:sz w:val="24"/>
          <w:szCs w:val="24"/>
        </w:rPr>
        <w:t xml:space="preserve"> in </w:t>
      </w:r>
      <w:r w:rsidRPr="00502B58">
        <w:rPr>
          <w:sz w:val="24"/>
          <w:szCs w:val="24"/>
        </w:rPr>
        <w:t xml:space="preserve">township houses </w:t>
      </w:r>
      <w:r w:rsidR="00BA3B44" w:rsidRPr="00502B58">
        <w:rPr>
          <w:sz w:val="24"/>
          <w:szCs w:val="24"/>
        </w:rPr>
        <w:t xml:space="preserve">that were </w:t>
      </w:r>
      <w:r w:rsidRPr="00502B58">
        <w:rPr>
          <w:sz w:val="24"/>
          <w:szCs w:val="24"/>
        </w:rPr>
        <w:t>converted from the apartheid permit system</w:t>
      </w:r>
      <w:r w:rsidR="00090F7A" w:rsidRPr="00502B58">
        <w:rPr>
          <w:sz w:val="24"/>
          <w:szCs w:val="24"/>
        </w:rPr>
        <w:t>.</w:t>
      </w:r>
    </w:p>
    <w:p w14:paraId="41CE9A9E" w14:textId="77777777" w:rsidR="00E11C2F" w:rsidRPr="00502B58" w:rsidRDefault="00E11C2F" w:rsidP="00E11C2F">
      <w:pPr>
        <w:spacing w:line="360" w:lineRule="auto"/>
        <w:jc w:val="both"/>
        <w:rPr>
          <w:rFonts w:cs="Arial"/>
          <w:sz w:val="24"/>
          <w:szCs w:val="24"/>
        </w:rPr>
      </w:pPr>
      <w:r w:rsidRPr="00502B58">
        <w:rPr>
          <w:rFonts w:cs="Arial"/>
          <w:sz w:val="24"/>
          <w:szCs w:val="24"/>
        </w:rPr>
        <w:t>The white paper has identified that the housing market is experiencing the dysfunctional property market</w:t>
      </w:r>
      <w:r w:rsidRPr="00502B58">
        <w:rPr>
          <w:rFonts w:cs="Arial"/>
          <w:i/>
          <w:iCs/>
          <w:sz w:val="24"/>
          <w:szCs w:val="24"/>
        </w:rPr>
        <w:t xml:space="preserve"> </w:t>
      </w:r>
      <w:r w:rsidRPr="00502B58">
        <w:rPr>
          <w:rFonts w:cs="Arial"/>
          <w:sz w:val="24"/>
          <w:szCs w:val="24"/>
        </w:rPr>
        <w:t xml:space="preserve">whereby approximately 60% of people living in South Africa reside in land parcels or landed properties or buildings that are not recognised in the formal property system. This is predominantly in informal settlements, dilapidated/hijacked inner-city buildings, and subsidy homes which have not been registered in the deed’s registry or customary areas. The subsidised houses have not significantly integrated into the housing market and are not providing a financial lever for the poor households to realise market value. The Financial Institutions generally do not accept untitled land as security when borrowing loans whether to upgrade houses, invest in businesses, student loans etc. Systemic issues are evident in the whole title deed value chain, reforms will need to be considered </w:t>
      </w:r>
      <w:bookmarkStart w:id="1" w:name="_Hlk191119950"/>
      <w:r w:rsidRPr="00502B58">
        <w:rPr>
          <w:rFonts w:cs="Arial"/>
          <w:sz w:val="24"/>
          <w:szCs w:val="24"/>
        </w:rPr>
        <w:t>to find a quicker, simplified, and less costly process of registration and transfer of land and property</w:t>
      </w:r>
      <w:bookmarkEnd w:id="1"/>
      <w:r w:rsidRPr="00502B58">
        <w:rPr>
          <w:rFonts w:cs="Arial"/>
          <w:sz w:val="24"/>
          <w:szCs w:val="24"/>
        </w:rPr>
        <w:t xml:space="preserve"> to cater for low- and middle-income households.</w:t>
      </w:r>
    </w:p>
    <w:p w14:paraId="375DD555" w14:textId="0B5F58F3" w:rsidR="007F43BD" w:rsidRPr="00502B58" w:rsidRDefault="00E11C2F" w:rsidP="00EF2F27">
      <w:pPr>
        <w:spacing w:line="360" w:lineRule="auto"/>
        <w:jc w:val="both"/>
        <w:rPr>
          <w:rFonts w:cs="Arial"/>
          <w:sz w:val="24"/>
          <w:szCs w:val="24"/>
        </w:rPr>
      </w:pPr>
      <w:r w:rsidRPr="00502B58">
        <w:rPr>
          <w:rFonts w:cs="Arial"/>
          <w:sz w:val="24"/>
          <w:szCs w:val="24"/>
        </w:rPr>
        <w:t xml:space="preserve">The White Paper </w:t>
      </w:r>
      <w:r w:rsidR="002573FD" w:rsidRPr="00502B58">
        <w:rPr>
          <w:rFonts w:cs="Arial"/>
          <w:sz w:val="24"/>
          <w:szCs w:val="24"/>
        </w:rPr>
        <w:t>also identifie</w:t>
      </w:r>
      <w:r w:rsidR="000A567A" w:rsidRPr="00502B58">
        <w:rPr>
          <w:rFonts w:cs="Arial"/>
          <w:sz w:val="24"/>
          <w:szCs w:val="24"/>
        </w:rPr>
        <w:t xml:space="preserve">d </w:t>
      </w:r>
      <w:r w:rsidR="002573FD" w:rsidRPr="00502B58">
        <w:rPr>
          <w:rFonts w:cs="Arial"/>
          <w:sz w:val="24"/>
          <w:szCs w:val="24"/>
        </w:rPr>
        <w:t xml:space="preserve">the </w:t>
      </w:r>
      <w:r w:rsidR="000A567A" w:rsidRPr="00502B58">
        <w:rPr>
          <w:rFonts w:cs="Arial"/>
          <w:sz w:val="24"/>
          <w:szCs w:val="24"/>
        </w:rPr>
        <w:t xml:space="preserve">lack of </w:t>
      </w:r>
      <w:r w:rsidR="004F2379" w:rsidRPr="00502B58">
        <w:rPr>
          <w:rFonts w:cs="Arial"/>
          <w:sz w:val="24"/>
          <w:szCs w:val="24"/>
        </w:rPr>
        <w:t>integrated system for tracking planning approval</w:t>
      </w:r>
      <w:r w:rsidR="00F341C0" w:rsidRPr="00502B58">
        <w:rPr>
          <w:rFonts w:cs="Arial"/>
          <w:sz w:val="24"/>
          <w:szCs w:val="24"/>
        </w:rPr>
        <w:t>s</w:t>
      </w:r>
      <w:r w:rsidR="004F2379" w:rsidRPr="00502B58">
        <w:rPr>
          <w:rFonts w:cs="Arial"/>
          <w:sz w:val="24"/>
          <w:szCs w:val="24"/>
        </w:rPr>
        <w:t xml:space="preserve"> </w:t>
      </w:r>
      <w:r w:rsidR="00F341C0" w:rsidRPr="00502B58">
        <w:rPr>
          <w:rFonts w:cs="Arial"/>
          <w:sz w:val="24"/>
          <w:szCs w:val="24"/>
        </w:rPr>
        <w:t>and</w:t>
      </w:r>
      <w:r w:rsidR="004F2379" w:rsidRPr="00502B58">
        <w:rPr>
          <w:rFonts w:cs="Arial"/>
          <w:sz w:val="24"/>
          <w:szCs w:val="24"/>
        </w:rPr>
        <w:t xml:space="preserve"> the need</w:t>
      </w:r>
      <w:r w:rsidR="00597693" w:rsidRPr="00502B58">
        <w:rPr>
          <w:rFonts w:cs="Arial"/>
          <w:sz w:val="24"/>
          <w:szCs w:val="24"/>
        </w:rPr>
        <w:t xml:space="preserve"> for a</w:t>
      </w:r>
      <w:r w:rsidR="000A567A" w:rsidRPr="00502B58">
        <w:rPr>
          <w:rFonts w:cs="Arial"/>
          <w:sz w:val="24"/>
          <w:szCs w:val="24"/>
        </w:rPr>
        <w:t xml:space="preserve"> government wide</w:t>
      </w:r>
      <w:r w:rsidR="00597693" w:rsidRPr="00502B58">
        <w:rPr>
          <w:rFonts w:cs="Arial"/>
          <w:sz w:val="24"/>
          <w:szCs w:val="24"/>
        </w:rPr>
        <w:t xml:space="preserve"> </w:t>
      </w:r>
      <w:r w:rsidRPr="00502B58">
        <w:rPr>
          <w:rFonts w:cs="Arial"/>
          <w:sz w:val="24"/>
          <w:szCs w:val="24"/>
        </w:rPr>
        <w:t>multi-</w:t>
      </w:r>
      <w:r w:rsidR="000A567A" w:rsidRPr="00502B58">
        <w:rPr>
          <w:rFonts w:cs="Arial"/>
          <w:sz w:val="24"/>
          <w:szCs w:val="24"/>
        </w:rPr>
        <w:t xml:space="preserve">stakeholder </w:t>
      </w:r>
      <w:r w:rsidRPr="00502B58">
        <w:rPr>
          <w:rFonts w:cs="Arial"/>
          <w:sz w:val="24"/>
          <w:szCs w:val="24"/>
        </w:rPr>
        <w:t xml:space="preserve">approach that should be pursued to implement sustainable human settlements. </w:t>
      </w:r>
      <w:r w:rsidR="00597693" w:rsidRPr="00502B58">
        <w:rPr>
          <w:rFonts w:cs="Arial"/>
          <w:sz w:val="24"/>
          <w:szCs w:val="24"/>
        </w:rPr>
        <w:t>This would be</w:t>
      </w:r>
      <w:r w:rsidRPr="00502B58">
        <w:rPr>
          <w:rFonts w:cs="Arial"/>
          <w:sz w:val="24"/>
          <w:szCs w:val="24"/>
        </w:rPr>
        <w:t xml:space="preserve"> aimed at holistically addressing spatial planning issues and bringing together various departments and specialists to facilitate better outcomes. As the custodian for human settlements function, the Department will explore various mechanisms of involving multi-disciplinary teams with specialists in built environment and other key professions e.g., planners, engineers, economists, architects, social facilitators and journalists</w:t>
      </w:r>
    </w:p>
    <w:p w14:paraId="1BF4029F" w14:textId="4CF5FFDA" w:rsidR="00B16F84" w:rsidRPr="00502B58" w:rsidRDefault="00B16F84" w:rsidP="00C54DB7">
      <w:pPr>
        <w:pStyle w:val="ListParagraph"/>
        <w:numPr>
          <w:ilvl w:val="0"/>
          <w:numId w:val="12"/>
        </w:numPr>
        <w:spacing w:line="360" w:lineRule="auto"/>
        <w:rPr>
          <w:rFonts w:cs="Arial"/>
          <w:b/>
          <w:bCs/>
          <w:sz w:val="24"/>
          <w:szCs w:val="24"/>
        </w:rPr>
      </w:pPr>
      <w:r w:rsidRPr="00502B58">
        <w:rPr>
          <w:rFonts w:cs="Arial"/>
          <w:b/>
          <w:bCs/>
          <w:sz w:val="24"/>
          <w:szCs w:val="24"/>
        </w:rPr>
        <w:lastRenderedPageBreak/>
        <w:t xml:space="preserve">Aim: </w:t>
      </w:r>
    </w:p>
    <w:p w14:paraId="6912EF70" w14:textId="2BB7B727" w:rsidR="003E3D6B" w:rsidRPr="00502B58" w:rsidRDefault="007F43BD" w:rsidP="00852CDD">
      <w:pPr>
        <w:spacing w:line="360" w:lineRule="auto"/>
        <w:jc w:val="both"/>
        <w:rPr>
          <w:rFonts w:cs="Arial"/>
          <w:sz w:val="24"/>
          <w:szCs w:val="24"/>
        </w:rPr>
      </w:pPr>
      <w:r w:rsidRPr="00502B58">
        <w:rPr>
          <w:rFonts w:cs="Arial"/>
          <w:sz w:val="24"/>
          <w:szCs w:val="24"/>
        </w:rPr>
        <w:t xml:space="preserve">The symposium aims to bridge the gap between </w:t>
      </w:r>
      <w:r w:rsidR="00BA52F7" w:rsidRPr="00502B58">
        <w:rPr>
          <w:rFonts w:cs="Arial"/>
          <w:sz w:val="24"/>
          <w:szCs w:val="24"/>
        </w:rPr>
        <w:t xml:space="preserve">practice, </w:t>
      </w:r>
      <w:r w:rsidRPr="00502B58">
        <w:rPr>
          <w:rFonts w:cs="Arial"/>
          <w:sz w:val="24"/>
          <w:szCs w:val="24"/>
        </w:rPr>
        <w:t>academic research, policy</w:t>
      </w:r>
      <w:r w:rsidR="00774514" w:rsidRPr="00502B58">
        <w:rPr>
          <w:rFonts w:cs="Arial"/>
          <w:sz w:val="24"/>
          <w:szCs w:val="24"/>
        </w:rPr>
        <w:t xml:space="preserve"> options</w:t>
      </w:r>
      <w:r w:rsidR="002369DE" w:rsidRPr="00502B58">
        <w:rPr>
          <w:rFonts w:cs="Arial"/>
          <w:sz w:val="24"/>
          <w:szCs w:val="24"/>
        </w:rPr>
        <w:t xml:space="preserve"> articulated in the White Paper for Human Settlements and other policies</w:t>
      </w:r>
      <w:r w:rsidRPr="00502B58">
        <w:rPr>
          <w:rFonts w:cs="Arial"/>
          <w:sz w:val="24"/>
          <w:szCs w:val="24"/>
        </w:rPr>
        <w:t xml:space="preserve">, and actionable </w:t>
      </w:r>
      <w:r w:rsidR="003B497D" w:rsidRPr="00502B58">
        <w:rPr>
          <w:rFonts w:cs="Arial"/>
          <w:sz w:val="24"/>
          <w:szCs w:val="24"/>
        </w:rPr>
        <w:t>strategies and</w:t>
      </w:r>
      <w:r w:rsidR="00046702" w:rsidRPr="00502B58">
        <w:rPr>
          <w:rFonts w:cs="Arial"/>
          <w:sz w:val="24"/>
          <w:szCs w:val="24"/>
        </w:rPr>
        <w:t xml:space="preserve"> work towards </w:t>
      </w:r>
      <w:r w:rsidRPr="00502B58">
        <w:rPr>
          <w:rFonts w:cs="Arial"/>
          <w:sz w:val="24"/>
          <w:szCs w:val="24"/>
        </w:rPr>
        <w:t>to</w:t>
      </w:r>
      <w:r w:rsidR="002F7077" w:rsidRPr="00502B58">
        <w:rPr>
          <w:rFonts w:cs="Arial"/>
          <w:sz w:val="24"/>
          <w:szCs w:val="24"/>
        </w:rPr>
        <w:t xml:space="preserve"> develop</w:t>
      </w:r>
      <w:r w:rsidR="00046702" w:rsidRPr="00502B58">
        <w:rPr>
          <w:rFonts w:cs="Arial"/>
          <w:sz w:val="24"/>
          <w:szCs w:val="24"/>
        </w:rPr>
        <w:t>ment</w:t>
      </w:r>
      <w:r w:rsidR="002F7077" w:rsidRPr="00502B58">
        <w:rPr>
          <w:rFonts w:cs="Arial"/>
          <w:sz w:val="24"/>
          <w:szCs w:val="24"/>
        </w:rPr>
        <w:t xml:space="preserve"> </w:t>
      </w:r>
      <w:r w:rsidR="00046702" w:rsidRPr="00502B58">
        <w:rPr>
          <w:rFonts w:cs="Arial"/>
          <w:sz w:val="24"/>
          <w:szCs w:val="24"/>
        </w:rPr>
        <w:t xml:space="preserve">of </w:t>
      </w:r>
      <w:r w:rsidR="002F7077" w:rsidRPr="00502B58">
        <w:rPr>
          <w:rFonts w:cs="Arial"/>
          <w:sz w:val="24"/>
          <w:szCs w:val="24"/>
        </w:rPr>
        <w:t xml:space="preserve">the Human </w:t>
      </w:r>
      <w:r w:rsidR="00BE6448" w:rsidRPr="00502B58">
        <w:rPr>
          <w:rFonts w:cs="Arial"/>
          <w:sz w:val="24"/>
          <w:szCs w:val="24"/>
        </w:rPr>
        <w:t>Settlements Bill</w:t>
      </w:r>
      <w:r w:rsidR="002F7077" w:rsidRPr="00502B58">
        <w:rPr>
          <w:rFonts w:cs="Arial"/>
          <w:sz w:val="24"/>
          <w:szCs w:val="24"/>
        </w:rPr>
        <w:t xml:space="preserve"> and</w:t>
      </w:r>
      <w:r w:rsidR="00BE6448" w:rsidRPr="00502B58">
        <w:rPr>
          <w:rFonts w:cs="Arial"/>
          <w:sz w:val="24"/>
          <w:szCs w:val="24"/>
        </w:rPr>
        <w:t xml:space="preserve"> </w:t>
      </w:r>
      <w:r w:rsidR="00D227F7" w:rsidRPr="00502B58">
        <w:rPr>
          <w:rFonts w:cs="Arial"/>
          <w:sz w:val="24"/>
          <w:szCs w:val="24"/>
        </w:rPr>
        <w:t>policies to be included in the</w:t>
      </w:r>
      <w:r w:rsidR="00F40E3F" w:rsidRPr="00502B58">
        <w:rPr>
          <w:rFonts w:cs="Arial"/>
          <w:sz w:val="24"/>
          <w:szCs w:val="24"/>
        </w:rPr>
        <w:t xml:space="preserve"> Human Settlements</w:t>
      </w:r>
      <w:r w:rsidR="00D227F7" w:rsidRPr="00502B58">
        <w:rPr>
          <w:rFonts w:cs="Arial"/>
          <w:sz w:val="24"/>
          <w:szCs w:val="24"/>
        </w:rPr>
        <w:t xml:space="preserve"> Co</w:t>
      </w:r>
      <w:r w:rsidR="00F40E3F" w:rsidRPr="00502B58">
        <w:rPr>
          <w:rFonts w:cs="Arial"/>
          <w:sz w:val="24"/>
          <w:szCs w:val="24"/>
        </w:rPr>
        <w:t>de/ Regulations.</w:t>
      </w:r>
    </w:p>
    <w:p w14:paraId="22CA3C2C" w14:textId="74C33E5D" w:rsidR="00614D59" w:rsidRPr="00502B58" w:rsidRDefault="003B497D" w:rsidP="003B497D">
      <w:pPr>
        <w:pStyle w:val="ListParagraph"/>
        <w:numPr>
          <w:ilvl w:val="0"/>
          <w:numId w:val="12"/>
        </w:numPr>
        <w:spacing w:line="278" w:lineRule="auto"/>
        <w:jc w:val="both"/>
        <w:rPr>
          <w:b/>
          <w:bCs/>
          <w:sz w:val="24"/>
          <w:szCs w:val="24"/>
        </w:rPr>
      </w:pPr>
      <w:r w:rsidRPr="00502B58">
        <w:rPr>
          <w:rFonts w:cs="Arial"/>
          <w:b/>
          <w:bCs/>
          <w:sz w:val="24"/>
          <w:szCs w:val="24"/>
        </w:rPr>
        <w:t xml:space="preserve">Symposium </w:t>
      </w:r>
      <w:r w:rsidR="00614D59" w:rsidRPr="00502B58">
        <w:rPr>
          <w:rFonts w:cs="Arial"/>
          <w:b/>
          <w:bCs/>
          <w:sz w:val="24"/>
          <w:szCs w:val="24"/>
        </w:rPr>
        <w:t>Objectives</w:t>
      </w:r>
      <w:r w:rsidR="00614D59" w:rsidRPr="00502B58">
        <w:rPr>
          <w:b/>
          <w:bCs/>
          <w:sz w:val="24"/>
          <w:szCs w:val="24"/>
        </w:rPr>
        <w:t xml:space="preserve"> </w:t>
      </w:r>
    </w:p>
    <w:p w14:paraId="13972BD2" w14:textId="77777777" w:rsidR="00D551AC" w:rsidRPr="00502B58" w:rsidRDefault="00D551AC" w:rsidP="00D551AC">
      <w:pPr>
        <w:pStyle w:val="ListParagraph"/>
        <w:numPr>
          <w:ilvl w:val="0"/>
          <w:numId w:val="6"/>
        </w:numPr>
        <w:spacing w:line="278" w:lineRule="auto"/>
        <w:jc w:val="both"/>
        <w:rPr>
          <w:sz w:val="24"/>
          <w:szCs w:val="24"/>
        </w:rPr>
      </w:pPr>
      <w:r w:rsidRPr="00502B58">
        <w:rPr>
          <w:sz w:val="24"/>
          <w:szCs w:val="24"/>
        </w:rPr>
        <w:t>To</w:t>
      </w:r>
      <w:r w:rsidRPr="00502B58">
        <w:rPr>
          <w:rFonts w:cs="Arial"/>
          <w:sz w:val="24"/>
          <w:szCs w:val="24"/>
        </w:rPr>
        <w:t xml:space="preserve"> deepen understanding</w:t>
      </w:r>
      <w:r w:rsidRPr="00502B58">
        <w:rPr>
          <w:sz w:val="24"/>
          <w:szCs w:val="24"/>
        </w:rPr>
        <w:t>, exchange ideas and knowledge around titling and recordal of rights in land</w:t>
      </w:r>
      <w:r w:rsidRPr="00502B58">
        <w:rPr>
          <w:rFonts w:cs="Arial"/>
          <w:sz w:val="24"/>
          <w:szCs w:val="24"/>
        </w:rPr>
        <w:t>.</w:t>
      </w:r>
    </w:p>
    <w:p w14:paraId="01B31755" w14:textId="3EF39C91" w:rsidR="006370FD" w:rsidRPr="00502B58" w:rsidRDefault="00E758B0" w:rsidP="00852CDD">
      <w:pPr>
        <w:pStyle w:val="ListParagraph"/>
        <w:numPr>
          <w:ilvl w:val="0"/>
          <w:numId w:val="6"/>
        </w:numPr>
        <w:spacing w:line="278" w:lineRule="auto"/>
        <w:jc w:val="both"/>
        <w:rPr>
          <w:sz w:val="24"/>
          <w:szCs w:val="24"/>
        </w:rPr>
      </w:pPr>
      <w:r w:rsidRPr="00502B58">
        <w:rPr>
          <w:sz w:val="24"/>
          <w:szCs w:val="24"/>
        </w:rPr>
        <w:t xml:space="preserve">To advance knowledge on </w:t>
      </w:r>
      <w:r w:rsidR="00812316" w:rsidRPr="00502B58">
        <w:rPr>
          <w:rFonts w:cs="Arial"/>
          <w:sz w:val="24"/>
          <w:szCs w:val="24"/>
        </w:rPr>
        <w:t>le</w:t>
      </w:r>
      <w:r w:rsidR="00A60E07" w:rsidRPr="00502B58">
        <w:rPr>
          <w:rFonts w:cs="Arial"/>
          <w:sz w:val="24"/>
          <w:szCs w:val="24"/>
        </w:rPr>
        <w:t xml:space="preserve">gislation, </w:t>
      </w:r>
      <w:r w:rsidR="00EB1ECE" w:rsidRPr="00502B58">
        <w:rPr>
          <w:rFonts w:cs="Arial"/>
          <w:sz w:val="24"/>
          <w:szCs w:val="24"/>
        </w:rPr>
        <w:t>policies</w:t>
      </w:r>
      <w:r w:rsidR="003E3D6B" w:rsidRPr="00502B58">
        <w:rPr>
          <w:rFonts w:cs="Arial"/>
          <w:sz w:val="24"/>
          <w:szCs w:val="24"/>
        </w:rPr>
        <w:t xml:space="preserve"> including </w:t>
      </w:r>
      <w:r w:rsidR="00B23F22" w:rsidRPr="00502B58">
        <w:rPr>
          <w:rFonts w:cs="Arial"/>
          <w:sz w:val="24"/>
          <w:szCs w:val="24"/>
        </w:rPr>
        <w:t>the provisions of the White Paper for</w:t>
      </w:r>
      <w:r w:rsidR="003A450B" w:rsidRPr="00502B58">
        <w:rPr>
          <w:rFonts w:cs="Arial"/>
          <w:sz w:val="24"/>
          <w:szCs w:val="24"/>
        </w:rPr>
        <w:t xml:space="preserve"> </w:t>
      </w:r>
      <w:r w:rsidR="009034D1" w:rsidRPr="00502B58">
        <w:rPr>
          <w:rFonts w:cs="Arial"/>
          <w:sz w:val="24"/>
          <w:szCs w:val="24"/>
        </w:rPr>
        <w:t xml:space="preserve">Human </w:t>
      </w:r>
      <w:r w:rsidR="00C81347" w:rsidRPr="00502B58">
        <w:rPr>
          <w:rFonts w:cs="Arial"/>
          <w:sz w:val="24"/>
          <w:szCs w:val="24"/>
        </w:rPr>
        <w:t>Settlements</w:t>
      </w:r>
    </w:p>
    <w:p w14:paraId="797EA66C" w14:textId="523860CD" w:rsidR="00EB1ECE" w:rsidRPr="00502B58" w:rsidRDefault="00E948C3" w:rsidP="00852CDD">
      <w:pPr>
        <w:numPr>
          <w:ilvl w:val="0"/>
          <w:numId w:val="6"/>
        </w:numPr>
        <w:spacing w:line="360" w:lineRule="auto"/>
        <w:jc w:val="both"/>
        <w:rPr>
          <w:rFonts w:cs="Arial"/>
          <w:sz w:val="24"/>
          <w:szCs w:val="24"/>
        </w:rPr>
      </w:pPr>
      <w:r w:rsidRPr="00502B58">
        <w:rPr>
          <w:rFonts w:cs="Arial"/>
          <w:sz w:val="24"/>
          <w:szCs w:val="24"/>
        </w:rPr>
        <w:t>To p</w:t>
      </w:r>
      <w:r w:rsidR="00EB1ECE" w:rsidRPr="00502B58">
        <w:rPr>
          <w:rFonts w:cs="Arial"/>
          <w:sz w:val="24"/>
          <w:szCs w:val="24"/>
        </w:rPr>
        <w:t xml:space="preserve">rovide a networking opportunity to foster collaborations </w:t>
      </w:r>
      <w:r w:rsidR="002F7763" w:rsidRPr="00502B58">
        <w:rPr>
          <w:sz w:val="24"/>
          <w:szCs w:val="24"/>
        </w:rPr>
        <w:t>amongst stakeholders</w:t>
      </w:r>
      <w:r w:rsidR="002F7763" w:rsidRPr="00502B58">
        <w:rPr>
          <w:rFonts w:cs="Arial"/>
          <w:sz w:val="24"/>
          <w:szCs w:val="24"/>
        </w:rPr>
        <w:t xml:space="preserve"> </w:t>
      </w:r>
      <w:r w:rsidR="00EB1ECE" w:rsidRPr="00502B58">
        <w:rPr>
          <w:rFonts w:cs="Arial"/>
          <w:sz w:val="24"/>
          <w:szCs w:val="24"/>
        </w:rPr>
        <w:t>on</w:t>
      </w:r>
      <w:r w:rsidR="003A450B" w:rsidRPr="00502B58">
        <w:rPr>
          <w:rFonts w:cs="Arial"/>
          <w:sz w:val="24"/>
          <w:szCs w:val="24"/>
        </w:rPr>
        <w:t xml:space="preserve"> titling</w:t>
      </w:r>
      <w:r w:rsidR="00296D18" w:rsidRPr="00502B58">
        <w:rPr>
          <w:rFonts w:cs="Arial"/>
          <w:sz w:val="24"/>
          <w:szCs w:val="24"/>
        </w:rPr>
        <w:t xml:space="preserve"> and tenure reform matters</w:t>
      </w:r>
    </w:p>
    <w:p w14:paraId="702E34A9" w14:textId="7A63C371" w:rsidR="00027FF6" w:rsidRPr="00502B58" w:rsidRDefault="00027FF6" w:rsidP="00852CDD">
      <w:pPr>
        <w:pStyle w:val="ListParagraph"/>
        <w:numPr>
          <w:ilvl w:val="0"/>
          <w:numId w:val="6"/>
        </w:numPr>
        <w:spacing w:line="360" w:lineRule="auto"/>
        <w:jc w:val="both"/>
        <w:rPr>
          <w:rFonts w:cs="Arial"/>
          <w:sz w:val="24"/>
          <w:szCs w:val="24"/>
        </w:rPr>
      </w:pPr>
      <w:r w:rsidRPr="00502B58">
        <w:rPr>
          <w:rFonts w:cs="Arial"/>
          <w:sz w:val="24"/>
          <w:szCs w:val="24"/>
        </w:rPr>
        <w:t xml:space="preserve">To discuss </w:t>
      </w:r>
      <w:r w:rsidR="00306BE2" w:rsidRPr="00502B58">
        <w:rPr>
          <w:rFonts w:cs="Arial"/>
          <w:sz w:val="24"/>
          <w:szCs w:val="24"/>
        </w:rPr>
        <w:t>t</w:t>
      </w:r>
      <w:r w:rsidRPr="00502B58">
        <w:rPr>
          <w:rFonts w:cs="Arial"/>
          <w:sz w:val="24"/>
          <w:szCs w:val="24"/>
        </w:rPr>
        <w:t>itling</w:t>
      </w:r>
      <w:r w:rsidR="00296D18" w:rsidRPr="00502B58">
        <w:rPr>
          <w:rFonts w:cs="Arial"/>
          <w:sz w:val="24"/>
          <w:szCs w:val="24"/>
        </w:rPr>
        <w:t xml:space="preserve"> and </w:t>
      </w:r>
      <w:r w:rsidR="00306BE2" w:rsidRPr="00502B58">
        <w:rPr>
          <w:rFonts w:cs="Arial"/>
          <w:sz w:val="24"/>
          <w:szCs w:val="24"/>
        </w:rPr>
        <w:t xml:space="preserve">security of </w:t>
      </w:r>
      <w:r w:rsidR="00296D18" w:rsidRPr="00502B58">
        <w:rPr>
          <w:rFonts w:cs="Arial"/>
          <w:sz w:val="24"/>
          <w:szCs w:val="24"/>
        </w:rPr>
        <w:t>t</w:t>
      </w:r>
      <w:r w:rsidRPr="00502B58">
        <w:rPr>
          <w:rFonts w:cs="Arial"/>
          <w:sz w:val="24"/>
          <w:szCs w:val="24"/>
        </w:rPr>
        <w:t>enure challenges experienced by the human settlement sector</w:t>
      </w:r>
      <w:r w:rsidR="00306BE2" w:rsidRPr="00502B58">
        <w:rPr>
          <w:rFonts w:cs="Arial"/>
          <w:sz w:val="24"/>
          <w:szCs w:val="24"/>
        </w:rPr>
        <w:t>; a</w:t>
      </w:r>
      <w:r w:rsidR="00E948C3" w:rsidRPr="00502B58">
        <w:rPr>
          <w:rFonts w:cs="Arial"/>
          <w:sz w:val="24"/>
          <w:szCs w:val="24"/>
        </w:rPr>
        <w:t xml:space="preserve">nd </w:t>
      </w:r>
      <w:r w:rsidRPr="00502B58">
        <w:rPr>
          <w:rFonts w:cs="Arial"/>
          <w:sz w:val="24"/>
          <w:szCs w:val="24"/>
        </w:rPr>
        <w:t>brainstorm possible Titling/Tenure reform solutions that could be adopted to find a quicker, simplified, and less costly process of registration and transfer of land and property.</w:t>
      </w:r>
    </w:p>
    <w:p w14:paraId="7D3305BD" w14:textId="77777777" w:rsidR="00931E5A" w:rsidRPr="00502B58" w:rsidRDefault="00027FF6" w:rsidP="00931E5A">
      <w:pPr>
        <w:pStyle w:val="ListParagraph"/>
        <w:numPr>
          <w:ilvl w:val="0"/>
          <w:numId w:val="6"/>
        </w:numPr>
        <w:spacing w:line="360" w:lineRule="auto"/>
        <w:jc w:val="both"/>
        <w:rPr>
          <w:rFonts w:cs="Arial"/>
          <w:sz w:val="24"/>
          <w:szCs w:val="24"/>
        </w:rPr>
      </w:pPr>
      <w:r w:rsidRPr="00502B58">
        <w:rPr>
          <w:rFonts w:cs="Arial"/>
          <w:sz w:val="24"/>
          <w:szCs w:val="24"/>
        </w:rPr>
        <w:t>To propose policy changes and reforms to unlock bottlenecks and fast-track Titling/tenure transfer to low- and middle-income households.</w:t>
      </w:r>
    </w:p>
    <w:p w14:paraId="5044623F" w14:textId="2FF83402" w:rsidR="00EB505D" w:rsidRPr="00502B58" w:rsidRDefault="00EB505D" w:rsidP="00931E5A">
      <w:pPr>
        <w:pStyle w:val="ListParagraph"/>
        <w:numPr>
          <w:ilvl w:val="0"/>
          <w:numId w:val="6"/>
        </w:numPr>
        <w:spacing w:line="360" w:lineRule="auto"/>
        <w:jc w:val="both"/>
        <w:rPr>
          <w:rFonts w:cs="Arial"/>
          <w:sz w:val="24"/>
          <w:szCs w:val="24"/>
        </w:rPr>
      </w:pPr>
      <w:r w:rsidRPr="00502B58">
        <w:rPr>
          <w:sz w:val="24"/>
          <w:szCs w:val="24"/>
        </w:rPr>
        <w:t xml:space="preserve">To debate and reach consensus regarding provisions of the future regulation/ programmes for the code </w:t>
      </w:r>
    </w:p>
    <w:p w14:paraId="42326F92" w14:textId="5F8233DC" w:rsidR="003876B0" w:rsidRPr="00502B58" w:rsidRDefault="003876B0" w:rsidP="003B497D">
      <w:pPr>
        <w:pStyle w:val="ListParagraph"/>
        <w:numPr>
          <w:ilvl w:val="0"/>
          <w:numId w:val="12"/>
        </w:numPr>
        <w:spacing w:line="360" w:lineRule="auto"/>
        <w:rPr>
          <w:rFonts w:cs="Arial"/>
          <w:b/>
          <w:bCs/>
          <w:sz w:val="24"/>
          <w:szCs w:val="24"/>
        </w:rPr>
      </w:pPr>
      <w:r w:rsidRPr="00502B58">
        <w:rPr>
          <w:rFonts w:cs="Arial"/>
          <w:b/>
          <w:bCs/>
          <w:sz w:val="24"/>
          <w:szCs w:val="24"/>
        </w:rPr>
        <w:t>Outcomes</w:t>
      </w:r>
      <w:r w:rsidR="003B497D" w:rsidRPr="00502B58">
        <w:rPr>
          <w:rFonts w:cs="Arial"/>
          <w:b/>
          <w:bCs/>
          <w:sz w:val="24"/>
          <w:szCs w:val="24"/>
        </w:rPr>
        <w:t xml:space="preserve"> of the symposium </w:t>
      </w:r>
    </w:p>
    <w:p w14:paraId="5D593426" w14:textId="3E54F2D5" w:rsidR="003876B0" w:rsidRPr="00502B58" w:rsidRDefault="003876B0" w:rsidP="00D85BAE">
      <w:pPr>
        <w:pStyle w:val="ListParagraph"/>
        <w:numPr>
          <w:ilvl w:val="0"/>
          <w:numId w:val="6"/>
        </w:numPr>
        <w:spacing w:line="360" w:lineRule="auto"/>
        <w:jc w:val="both"/>
        <w:rPr>
          <w:rFonts w:cs="Arial"/>
          <w:sz w:val="24"/>
          <w:szCs w:val="24"/>
        </w:rPr>
      </w:pPr>
      <w:r w:rsidRPr="00502B58">
        <w:rPr>
          <w:rFonts w:cs="Arial"/>
          <w:sz w:val="24"/>
          <w:szCs w:val="24"/>
        </w:rPr>
        <w:t>Through meaningful discussions, the organisers expect to strengthen partnerships and collaboration between these key stakeholders, fostering a network of policymakers, researchers, and civil society organisations committed to reducing inequality. The gathering also will provide a roadmap for future research and policy engagement on programmes of the Code and the Bill.</w:t>
      </w:r>
    </w:p>
    <w:p w14:paraId="40029EB7" w14:textId="61F6E6B1" w:rsidR="007F43BD" w:rsidRPr="00502B58" w:rsidRDefault="007F43BD" w:rsidP="003B497D">
      <w:pPr>
        <w:pStyle w:val="ListParagraph"/>
        <w:numPr>
          <w:ilvl w:val="0"/>
          <w:numId w:val="12"/>
        </w:numPr>
        <w:spacing w:line="360" w:lineRule="auto"/>
        <w:rPr>
          <w:rFonts w:cs="Arial"/>
          <w:b/>
          <w:bCs/>
          <w:sz w:val="24"/>
          <w:szCs w:val="24"/>
        </w:rPr>
      </w:pPr>
      <w:r w:rsidRPr="00502B58">
        <w:rPr>
          <w:rFonts w:cs="Arial"/>
          <w:b/>
          <w:bCs/>
          <w:sz w:val="24"/>
          <w:szCs w:val="24"/>
        </w:rPr>
        <w:t>Target audiences</w:t>
      </w:r>
    </w:p>
    <w:p w14:paraId="08F431E7" w14:textId="71542BC9" w:rsidR="00852CDD" w:rsidRPr="00502B58" w:rsidRDefault="00EE43D2" w:rsidP="00852CDD">
      <w:pPr>
        <w:pStyle w:val="Default"/>
        <w:spacing w:line="360" w:lineRule="auto"/>
        <w:jc w:val="both"/>
        <w:rPr>
          <w:rFonts w:asciiTheme="minorHAnsi" w:hAnsiTheme="minorHAnsi" w:cs="Arial"/>
        </w:rPr>
      </w:pPr>
      <w:r w:rsidRPr="00502B58">
        <w:rPr>
          <w:rFonts w:asciiTheme="minorHAnsi" w:hAnsiTheme="minorHAnsi" w:cs="Arial"/>
        </w:rPr>
        <w:t>About 1</w:t>
      </w:r>
      <w:r w:rsidR="009B0772" w:rsidRPr="00502B58">
        <w:rPr>
          <w:rFonts w:asciiTheme="minorHAnsi" w:hAnsiTheme="minorHAnsi" w:cs="Arial"/>
        </w:rPr>
        <w:t>3</w:t>
      </w:r>
      <w:r w:rsidRPr="00502B58">
        <w:rPr>
          <w:rFonts w:asciiTheme="minorHAnsi" w:hAnsiTheme="minorHAnsi" w:cs="Arial"/>
        </w:rPr>
        <w:t xml:space="preserve">0 stakeholders are targeted and </w:t>
      </w:r>
      <w:r w:rsidR="00852CDD" w:rsidRPr="00502B58">
        <w:rPr>
          <w:rFonts w:asciiTheme="minorHAnsi" w:hAnsiTheme="minorHAnsi" w:cs="Arial"/>
        </w:rPr>
        <w:t>will be invited:</w:t>
      </w:r>
    </w:p>
    <w:p w14:paraId="1B2B16FA" w14:textId="77777777" w:rsidR="00852CDD" w:rsidRPr="00502B58" w:rsidRDefault="00852CDD" w:rsidP="00852CDD">
      <w:pPr>
        <w:pStyle w:val="Default"/>
        <w:numPr>
          <w:ilvl w:val="0"/>
          <w:numId w:val="6"/>
        </w:numPr>
        <w:spacing w:line="360" w:lineRule="auto"/>
        <w:jc w:val="both"/>
        <w:rPr>
          <w:rFonts w:asciiTheme="minorHAnsi" w:hAnsiTheme="minorHAnsi" w:cs="Arial"/>
        </w:rPr>
      </w:pPr>
      <w:r w:rsidRPr="00502B58">
        <w:rPr>
          <w:rFonts w:asciiTheme="minorHAnsi" w:hAnsiTheme="minorHAnsi" w:cs="Arial"/>
        </w:rPr>
        <w:t>Government Departments.</w:t>
      </w:r>
    </w:p>
    <w:p w14:paraId="5F1D472A" w14:textId="51AF98C1" w:rsidR="00852CDD" w:rsidRPr="00502B58" w:rsidRDefault="00EE43D2" w:rsidP="00852CDD">
      <w:pPr>
        <w:pStyle w:val="Default"/>
        <w:numPr>
          <w:ilvl w:val="0"/>
          <w:numId w:val="6"/>
        </w:numPr>
        <w:spacing w:line="360" w:lineRule="auto"/>
        <w:jc w:val="both"/>
        <w:rPr>
          <w:rFonts w:asciiTheme="minorHAnsi" w:hAnsiTheme="minorHAnsi" w:cs="Arial"/>
        </w:rPr>
      </w:pPr>
      <w:r w:rsidRPr="00502B58">
        <w:rPr>
          <w:rFonts w:asciiTheme="minorHAnsi" w:hAnsiTheme="minorHAnsi" w:cs="Arial"/>
        </w:rPr>
        <w:t xml:space="preserve">Chapter </w:t>
      </w:r>
      <w:r w:rsidR="003B02E4" w:rsidRPr="00502B58">
        <w:rPr>
          <w:rFonts w:asciiTheme="minorHAnsi" w:hAnsiTheme="minorHAnsi" w:cs="Arial"/>
        </w:rPr>
        <w:t xml:space="preserve">9 institutions incl. </w:t>
      </w:r>
      <w:r w:rsidR="00852CDD" w:rsidRPr="00502B58">
        <w:rPr>
          <w:rFonts w:asciiTheme="minorHAnsi" w:hAnsiTheme="minorHAnsi" w:cs="Arial"/>
        </w:rPr>
        <w:t>South African Huma Rights Commission.</w:t>
      </w:r>
    </w:p>
    <w:p w14:paraId="01400801" w14:textId="430CEB00" w:rsidR="00852CDD" w:rsidRPr="00502B58" w:rsidRDefault="00852CDD" w:rsidP="00852CDD">
      <w:pPr>
        <w:pStyle w:val="Default"/>
        <w:numPr>
          <w:ilvl w:val="0"/>
          <w:numId w:val="6"/>
        </w:numPr>
        <w:spacing w:line="360" w:lineRule="auto"/>
        <w:jc w:val="both"/>
        <w:rPr>
          <w:rFonts w:asciiTheme="minorHAnsi" w:hAnsiTheme="minorHAnsi" w:cs="Arial"/>
        </w:rPr>
      </w:pPr>
      <w:r w:rsidRPr="00502B58">
        <w:rPr>
          <w:rFonts w:asciiTheme="minorHAnsi" w:hAnsiTheme="minorHAnsi" w:cs="Arial"/>
        </w:rPr>
        <w:t>Academia;</w:t>
      </w:r>
      <w:r w:rsidR="001F3A4B" w:rsidRPr="00502B58">
        <w:rPr>
          <w:rFonts w:asciiTheme="minorHAnsi" w:hAnsiTheme="minorHAnsi" w:cs="Arial"/>
        </w:rPr>
        <w:t xml:space="preserve"> and </w:t>
      </w:r>
      <w:r w:rsidR="00EE43D2" w:rsidRPr="00502B58">
        <w:rPr>
          <w:rFonts w:asciiTheme="minorHAnsi" w:hAnsiTheme="minorHAnsi" w:cs="Arial"/>
        </w:rPr>
        <w:t>researchers.</w:t>
      </w:r>
    </w:p>
    <w:p w14:paraId="2EEA46E8" w14:textId="428522B5" w:rsidR="001F3A4B" w:rsidRPr="00502B58" w:rsidRDefault="001F3A4B" w:rsidP="007F43BD">
      <w:pPr>
        <w:pStyle w:val="Default"/>
        <w:numPr>
          <w:ilvl w:val="0"/>
          <w:numId w:val="6"/>
        </w:numPr>
        <w:spacing w:line="360" w:lineRule="auto"/>
        <w:jc w:val="both"/>
        <w:rPr>
          <w:rFonts w:asciiTheme="minorHAnsi" w:hAnsiTheme="minorHAnsi" w:cs="Arial"/>
        </w:rPr>
      </w:pPr>
      <w:r w:rsidRPr="00502B58">
        <w:rPr>
          <w:rFonts w:asciiTheme="minorHAnsi" w:hAnsiTheme="minorHAnsi" w:cs="Arial"/>
        </w:rPr>
        <w:lastRenderedPageBreak/>
        <w:t xml:space="preserve">Advocacy groups, </w:t>
      </w:r>
      <w:r w:rsidR="00852CDD" w:rsidRPr="00502B58">
        <w:rPr>
          <w:rFonts w:asciiTheme="minorHAnsi" w:hAnsiTheme="minorHAnsi" w:cs="Arial"/>
        </w:rPr>
        <w:t>Non-Governmental</w:t>
      </w:r>
      <w:r w:rsidRPr="00502B58">
        <w:rPr>
          <w:rFonts w:asciiTheme="minorHAnsi" w:hAnsiTheme="minorHAnsi" w:cs="Arial"/>
        </w:rPr>
        <w:t xml:space="preserve"> and</w:t>
      </w:r>
      <w:r w:rsidR="00852CDD" w:rsidRPr="00502B58">
        <w:rPr>
          <w:rFonts w:asciiTheme="minorHAnsi" w:hAnsiTheme="minorHAnsi" w:cs="Arial"/>
        </w:rPr>
        <w:t xml:space="preserve"> </w:t>
      </w:r>
      <w:r w:rsidRPr="00502B58">
        <w:rPr>
          <w:rFonts w:asciiTheme="minorHAnsi" w:hAnsiTheme="minorHAnsi" w:cs="Arial"/>
        </w:rPr>
        <w:t xml:space="preserve">Civil Society Organisations </w:t>
      </w:r>
    </w:p>
    <w:p w14:paraId="02265334" w14:textId="60B157CE" w:rsidR="001F3A4B" w:rsidRPr="00502B58" w:rsidRDefault="007F43BD" w:rsidP="00EE43D2">
      <w:pPr>
        <w:pStyle w:val="Default"/>
        <w:numPr>
          <w:ilvl w:val="0"/>
          <w:numId w:val="6"/>
        </w:numPr>
        <w:spacing w:line="360" w:lineRule="auto"/>
        <w:jc w:val="both"/>
        <w:rPr>
          <w:rFonts w:asciiTheme="minorHAnsi" w:hAnsiTheme="minorHAnsi" w:cs="Arial"/>
        </w:rPr>
      </w:pPr>
      <w:r w:rsidRPr="00502B58">
        <w:rPr>
          <w:rFonts w:asciiTheme="minorHAnsi" w:hAnsiTheme="minorHAnsi" w:cs="Arial"/>
        </w:rPr>
        <w:t>Policymakers</w:t>
      </w:r>
      <w:r w:rsidR="00EE43D2" w:rsidRPr="00502B58">
        <w:rPr>
          <w:rFonts w:asciiTheme="minorHAnsi" w:hAnsiTheme="minorHAnsi" w:cs="Arial"/>
        </w:rPr>
        <w:t xml:space="preserve"> and </w:t>
      </w:r>
      <w:r w:rsidRPr="00502B58">
        <w:rPr>
          <w:rFonts w:asciiTheme="minorHAnsi" w:hAnsiTheme="minorHAnsi" w:cs="Arial"/>
        </w:rPr>
        <w:t xml:space="preserve">government </w:t>
      </w:r>
      <w:r w:rsidR="00852CDD" w:rsidRPr="00502B58">
        <w:rPr>
          <w:rFonts w:asciiTheme="minorHAnsi" w:hAnsiTheme="minorHAnsi" w:cs="Arial"/>
        </w:rPr>
        <w:t>representatives</w:t>
      </w:r>
    </w:p>
    <w:p w14:paraId="2347C009" w14:textId="0A681C1E" w:rsidR="001F3A4B" w:rsidRPr="00502B58" w:rsidRDefault="00EE43D2" w:rsidP="007F43BD">
      <w:pPr>
        <w:pStyle w:val="Default"/>
        <w:numPr>
          <w:ilvl w:val="0"/>
          <w:numId w:val="6"/>
        </w:numPr>
        <w:spacing w:line="360" w:lineRule="auto"/>
        <w:jc w:val="both"/>
        <w:rPr>
          <w:rFonts w:asciiTheme="minorHAnsi" w:hAnsiTheme="minorHAnsi" w:cs="Arial"/>
        </w:rPr>
      </w:pPr>
      <w:r w:rsidRPr="00502B58">
        <w:rPr>
          <w:rFonts w:asciiTheme="minorHAnsi" w:hAnsiTheme="minorHAnsi" w:cs="Arial"/>
        </w:rPr>
        <w:t>I</w:t>
      </w:r>
      <w:r w:rsidR="007F43BD" w:rsidRPr="00502B58">
        <w:rPr>
          <w:rFonts w:asciiTheme="minorHAnsi" w:hAnsiTheme="minorHAnsi" w:cs="Arial"/>
        </w:rPr>
        <w:t xml:space="preserve">nternational organisations (e.g. World Bank, UN agencies) </w:t>
      </w:r>
    </w:p>
    <w:p w14:paraId="3F8FAD12" w14:textId="7C72F9A3" w:rsidR="007F43BD" w:rsidRPr="00502B58" w:rsidRDefault="00EE43D2" w:rsidP="007F43BD">
      <w:pPr>
        <w:pStyle w:val="Default"/>
        <w:numPr>
          <w:ilvl w:val="0"/>
          <w:numId w:val="6"/>
        </w:numPr>
        <w:spacing w:line="360" w:lineRule="auto"/>
        <w:jc w:val="both"/>
        <w:rPr>
          <w:rFonts w:asciiTheme="minorHAnsi" w:hAnsiTheme="minorHAnsi" w:cs="Arial"/>
        </w:rPr>
      </w:pPr>
      <w:r w:rsidRPr="00502B58">
        <w:rPr>
          <w:rFonts w:asciiTheme="minorHAnsi" w:hAnsiTheme="minorHAnsi" w:cs="Arial"/>
        </w:rPr>
        <w:t>P</w:t>
      </w:r>
      <w:r w:rsidR="007F43BD" w:rsidRPr="00502B58">
        <w:rPr>
          <w:rFonts w:asciiTheme="minorHAnsi" w:hAnsiTheme="minorHAnsi" w:cs="Arial"/>
        </w:rPr>
        <w:t>rivate sector stakeholders with an interest in inclusive</w:t>
      </w:r>
      <w:r w:rsidR="00852CDD" w:rsidRPr="00502B58">
        <w:rPr>
          <w:rFonts w:asciiTheme="minorHAnsi" w:hAnsiTheme="minorHAnsi" w:cs="Arial"/>
        </w:rPr>
        <w:t xml:space="preserve"> titling and tenure</w:t>
      </w:r>
      <w:r w:rsidR="007F43BD" w:rsidRPr="00502B58">
        <w:rPr>
          <w:rFonts w:asciiTheme="minorHAnsi" w:hAnsiTheme="minorHAnsi" w:cs="Arial"/>
        </w:rPr>
        <w:t>.</w:t>
      </w:r>
    </w:p>
    <w:p w14:paraId="532CCB3B" w14:textId="12A1BED6" w:rsidR="007F43BD" w:rsidRPr="00502B58" w:rsidRDefault="007F43BD" w:rsidP="003B497D">
      <w:pPr>
        <w:pStyle w:val="ListParagraph"/>
        <w:numPr>
          <w:ilvl w:val="0"/>
          <w:numId w:val="12"/>
        </w:numPr>
        <w:spacing w:line="360" w:lineRule="auto"/>
        <w:rPr>
          <w:rFonts w:cs="Arial"/>
          <w:b/>
          <w:bCs/>
          <w:sz w:val="24"/>
          <w:szCs w:val="24"/>
        </w:rPr>
      </w:pPr>
      <w:r w:rsidRPr="00502B58">
        <w:rPr>
          <w:rFonts w:cs="Arial"/>
          <w:b/>
          <w:bCs/>
          <w:sz w:val="24"/>
          <w:szCs w:val="24"/>
        </w:rPr>
        <w:t>Proposed themes and discussion points</w:t>
      </w:r>
    </w:p>
    <w:p w14:paraId="7DA551FB" w14:textId="463AD817" w:rsidR="007F43BD" w:rsidRPr="00502B58" w:rsidRDefault="00B17B01" w:rsidP="00EB30AB">
      <w:pPr>
        <w:numPr>
          <w:ilvl w:val="0"/>
          <w:numId w:val="10"/>
        </w:numPr>
        <w:spacing w:line="360" w:lineRule="auto"/>
        <w:rPr>
          <w:rFonts w:cs="Arial"/>
          <w:sz w:val="24"/>
          <w:szCs w:val="24"/>
        </w:rPr>
      </w:pPr>
      <w:r w:rsidRPr="00502B58">
        <w:rPr>
          <w:rFonts w:cs="Arial"/>
          <w:sz w:val="24"/>
          <w:szCs w:val="24"/>
        </w:rPr>
        <w:t>Policy, legislation, systems</w:t>
      </w:r>
      <w:r w:rsidR="0050050B" w:rsidRPr="00502B58">
        <w:rPr>
          <w:rFonts w:cs="Arial"/>
          <w:sz w:val="24"/>
          <w:szCs w:val="24"/>
        </w:rPr>
        <w:t xml:space="preserve">, </w:t>
      </w:r>
      <w:r w:rsidRPr="00502B58">
        <w:rPr>
          <w:rFonts w:cs="Arial"/>
          <w:sz w:val="24"/>
          <w:szCs w:val="24"/>
        </w:rPr>
        <w:t>processes</w:t>
      </w:r>
      <w:r w:rsidR="0050050B" w:rsidRPr="00502B58">
        <w:rPr>
          <w:rFonts w:cs="Arial"/>
          <w:sz w:val="24"/>
          <w:szCs w:val="24"/>
        </w:rPr>
        <w:t xml:space="preserve">, </w:t>
      </w:r>
      <w:r w:rsidR="006C0D7A">
        <w:rPr>
          <w:rFonts w:cs="Arial"/>
          <w:sz w:val="24"/>
          <w:szCs w:val="24"/>
        </w:rPr>
        <w:t xml:space="preserve">turnaround times, </w:t>
      </w:r>
      <w:r w:rsidR="0050050B" w:rsidRPr="00502B58">
        <w:rPr>
          <w:rFonts w:cs="Arial"/>
          <w:sz w:val="24"/>
          <w:szCs w:val="24"/>
        </w:rPr>
        <w:t>challenges and possible solutions</w:t>
      </w:r>
      <w:r w:rsidR="00EB30AB" w:rsidRPr="00502B58">
        <w:rPr>
          <w:rFonts w:cs="Arial"/>
          <w:sz w:val="24"/>
          <w:szCs w:val="24"/>
        </w:rPr>
        <w:t xml:space="preserve"> </w:t>
      </w:r>
    </w:p>
    <w:p w14:paraId="4A46FDCC" w14:textId="5A80B834" w:rsidR="007F43BD" w:rsidRDefault="000857E9" w:rsidP="007F43BD">
      <w:pPr>
        <w:numPr>
          <w:ilvl w:val="0"/>
          <w:numId w:val="10"/>
        </w:numPr>
        <w:spacing w:line="360" w:lineRule="auto"/>
        <w:rPr>
          <w:rFonts w:cs="Arial"/>
          <w:sz w:val="24"/>
          <w:szCs w:val="24"/>
        </w:rPr>
      </w:pPr>
      <w:r w:rsidRPr="00502B58">
        <w:rPr>
          <w:rFonts w:cs="Arial"/>
          <w:sz w:val="24"/>
          <w:szCs w:val="24"/>
        </w:rPr>
        <w:t xml:space="preserve">Planning approvals and township establishment </w:t>
      </w:r>
    </w:p>
    <w:p w14:paraId="651353A0" w14:textId="52118694" w:rsidR="006C0D7A" w:rsidRPr="00502B58" w:rsidRDefault="006C0D7A" w:rsidP="007F43BD">
      <w:pPr>
        <w:numPr>
          <w:ilvl w:val="0"/>
          <w:numId w:val="10"/>
        </w:numPr>
        <w:spacing w:line="360" w:lineRule="auto"/>
        <w:rPr>
          <w:rFonts w:cs="Arial"/>
          <w:sz w:val="24"/>
          <w:szCs w:val="24"/>
        </w:rPr>
      </w:pPr>
      <w:r>
        <w:rPr>
          <w:rFonts w:cs="Arial"/>
          <w:sz w:val="24"/>
          <w:szCs w:val="24"/>
        </w:rPr>
        <w:t xml:space="preserve">Fees in </w:t>
      </w:r>
      <w:r w:rsidR="00E944B1">
        <w:rPr>
          <w:rFonts w:cs="Arial"/>
          <w:sz w:val="24"/>
          <w:szCs w:val="24"/>
        </w:rPr>
        <w:t>tilting process</w:t>
      </w:r>
    </w:p>
    <w:p w14:paraId="0A5B4977" w14:textId="59359CA4" w:rsidR="00EC2941" w:rsidRPr="00502B58" w:rsidRDefault="006C0D7A" w:rsidP="0050050B">
      <w:pPr>
        <w:numPr>
          <w:ilvl w:val="0"/>
          <w:numId w:val="10"/>
        </w:numPr>
        <w:spacing w:line="360" w:lineRule="auto"/>
        <w:rPr>
          <w:rFonts w:cs="Arial"/>
          <w:sz w:val="24"/>
          <w:szCs w:val="24"/>
        </w:rPr>
      </w:pPr>
      <w:r>
        <w:rPr>
          <w:rFonts w:cs="Arial"/>
          <w:sz w:val="24"/>
          <w:szCs w:val="24"/>
        </w:rPr>
        <w:t>R</w:t>
      </w:r>
      <w:r w:rsidR="007F43BD" w:rsidRPr="00502B58">
        <w:rPr>
          <w:rFonts w:cs="Arial"/>
          <w:sz w:val="24"/>
          <w:szCs w:val="24"/>
        </w:rPr>
        <w:t xml:space="preserve">ole of </w:t>
      </w:r>
      <w:r w:rsidR="00D41806" w:rsidRPr="00502B58">
        <w:rPr>
          <w:rFonts w:cs="Arial"/>
          <w:sz w:val="24"/>
          <w:szCs w:val="24"/>
        </w:rPr>
        <w:t xml:space="preserve">stakeholders, </w:t>
      </w:r>
      <w:r w:rsidR="007F43BD" w:rsidRPr="00502B58">
        <w:rPr>
          <w:rFonts w:cs="Arial"/>
          <w:sz w:val="24"/>
          <w:szCs w:val="24"/>
        </w:rPr>
        <w:t xml:space="preserve">governments, international institutions, and non-governmental </w:t>
      </w:r>
      <w:r w:rsidR="00EC2941" w:rsidRPr="00502B58">
        <w:rPr>
          <w:rFonts w:cs="Arial"/>
          <w:sz w:val="24"/>
          <w:szCs w:val="24"/>
        </w:rPr>
        <w:t>organisations</w:t>
      </w:r>
      <w:r w:rsidR="0050050B" w:rsidRPr="00502B58">
        <w:rPr>
          <w:rFonts w:cs="Arial"/>
          <w:sz w:val="24"/>
          <w:szCs w:val="24"/>
        </w:rPr>
        <w:t xml:space="preserve"> in </w:t>
      </w:r>
      <w:r w:rsidR="007F43BD" w:rsidRPr="00502B58">
        <w:rPr>
          <w:rFonts w:cs="Arial"/>
          <w:sz w:val="24"/>
          <w:szCs w:val="24"/>
        </w:rPr>
        <w:t xml:space="preserve">strengthening social dialogue for inclusive policy </w:t>
      </w:r>
      <w:r w:rsidR="00EC2941" w:rsidRPr="00502B58">
        <w:rPr>
          <w:rFonts w:cs="Arial"/>
          <w:sz w:val="24"/>
          <w:szCs w:val="24"/>
        </w:rPr>
        <w:t>making.</w:t>
      </w:r>
      <w:r w:rsidR="007F43BD" w:rsidRPr="00502B58">
        <w:rPr>
          <w:rFonts w:cs="Arial"/>
          <w:sz w:val="24"/>
          <w:szCs w:val="24"/>
        </w:rPr>
        <w:t xml:space="preserve"> </w:t>
      </w:r>
    </w:p>
    <w:p w14:paraId="16D112DB" w14:textId="55716295" w:rsidR="003B497D" w:rsidRPr="00502B58" w:rsidRDefault="002F3A2B" w:rsidP="003B497D">
      <w:pPr>
        <w:numPr>
          <w:ilvl w:val="0"/>
          <w:numId w:val="10"/>
        </w:numPr>
        <w:spacing w:line="360" w:lineRule="auto"/>
        <w:rPr>
          <w:rFonts w:cs="Arial"/>
          <w:sz w:val="24"/>
          <w:szCs w:val="24"/>
        </w:rPr>
      </w:pPr>
      <w:r w:rsidRPr="00502B58">
        <w:rPr>
          <w:rFonts w:cs="Arial"/>
          <w:sz w:val="24"/>
          <w:szCs w:val="24"/>
        </w:rPr>
        <w:t xml:space="preserve">Identifying and </w:t>
      </w:r>
      <w:r w:rsidR="006C0D7A">
        <w:rPr>
          <w:rFonts w:cs="Arial"/>
          <w:sz w:val="24"/>
          <w:szCs w:val="24"/>
        </w:rPr>
        <w:t>k</w:t>
      </w:r>
      <w:r w:rsidR="0050050B" w:rsidRPr="00502B58">
        <w:rPr>
          <w:rFonts w:cs="Arial"/>
          <w:sz w:val="24"/>
          <w:szCs w:val="24"/>
        </w:rPr>
        <w:t xml:space="preserve">nowing the </w:t>
      </w:r>
      <w:r w:rsidR="007F43BD" w:rsidRPr="00502B58">
        <w:rPr>
          <w:rFonts w:cs="Arial"/>
          <w:sz w:val="24"/>
          <w:szCs w:val="24"/>
        </w:rPr>
        <w:t>key entry points for action</w:t>
      </w:r>
    </w:p>
    <w:p w14:paraId="41788F5C" w14:textId="79CFF0F2" w:rsidR="007F43BD" w:rsidRPr="00502B58" w:rsidRDefault="007F43BD" w:rsidP="003B497D">
      <w:pPr>
        <w:pStyle w:val="ListParagraph"/>
        <w:numPr>
          <w:ilvl w:val="0"/>
          <w:numId w:val="12"/>
        </w:numPr>
        <w:spacing w:line="360" w:lineRule="auto"/>
        <w:rPr>
          <w:rFonts w:cs="Arial"/>
          <w:b/>
          <w:bCs/>
          <w:sz w:val="24"/>
          <w:szCs w:val="24"/>
        </w:rPr>
      </w:pPr>
      <w:r w:rsidRPr="00502B58">
        <w:rPr>
          <w:rFonts w:cs="Arial"/>
          <w:b/>
          <w:bCs/>
          <w:sz w:val="24"/>
          <w:szCs w:val="24"/>
        </w:rPr>
        <w:t>Format and speakers</w:t>
      </w:r>
    </w:p>
    <w:p w14:paraId="492098CF" w14:textId="155AFA41" w:rsidR="007F43BD" w:rsidRPr="00502B58" w:rsidRDefault="007F43BD" w:rsidP="007F43BD">
      <w:pPr>
        <w:spacing w:line="360" w:lineRule="auto"/>
        <w:rPr>
          <w:rFonts w:cs="Arial"/>
          <w:sz w:val="24"/>
          <w:szCs w:val="24"/>
        </w:rPr>
      </w:pPr>
      <w:r w:rsidRPr="00502B58">
        <w:rPr>
          <w:rFonts w:cs="Arial"/>
          <w:sz w:val="24"/>
          <w:szCs w:val="24"/>
        </w:rPr>
        <w:t xml:space="preserve">The event will feature an expert panel discussion, </w:t>
      </w:r>
      <w:r w:rsidR="008F46C6" w:rsidRPr="00502B58">
        <w:rPr>
          <w:rFonts w:cs="Arial"/>
          <w:sz w:val="24"/>
          <w:szCs w:val="24"/>
        </w:rPr>
        <w:t xml:space="preserve">presentations </w:t>
      </w:r>
      <w:r w:rsidRPr="00502B58">
        <w:rPr>
          <w:rFonts w:cs="Arial"/>
          <w:sz w:val="24"/>
          <w:szCs w:val="24"/>
        </w:rPr>
        <w:t>and an interactive discussion. Confirmed and potential speakers include:</w:t>
      </w:r>
    </w:p>
    <w:p w14:paraId="603B7880" w14:textId="7E520B93" w:rsidR="00F24430" w:rsidRPr="00502B58" w:rsidRDefault="00F24430" w:rsidP="00F24430">
      <w:pPr>
        <w:numPr>
          <w:ilvl w:val="0"/>
          <w:numId w:val="11"/>
        </w:numPr>
        <w:spacing w:line="360" w:lineRule="auto"/>
        <w:rPr>
          <w:rFonts w:cs="Arial"/>
          <w:sz w:val="24"/>
          <w:szCs w:val="24"/>
        </w:rPr>
      </w:pPr>
      <w:r w:rsidRPr="00502B58">
        <w:rPr>
          <w:rFonts w:cs="Arial"/>
          <w:sz w:val="24"/>
          <w:szCs w:val="24"/>
        </w:rPr>
        <w:t xml:space="preserve">Prof David Dickinson, Legal Resources </w:t>
      </w:r>
      <w:r w:rsidR="007B7602" w:rsidRPr="00502B58">
        <w:rPr>
          <w:rFonts w:cs="Arial"/>
          <w:sz w:val="24"/>
          <w:szCs w:val="24"/>
        </w:rPr>
        <w:t>Centre</w:t>
      </w:r>
    </w:p>
    <w:p w14:paraId="461D623D" w14:textId="34E4EF5C" w:rsidR="001A37D8" w:rsidRPr="00502B58" w:rsidRDefault="001A37D8" w:rsidP="00F24430">
      <w:pPr>
        <w:numPr>
          <w:ilvl w:val="0"/>
          <w:numId w:val="11"/>
        </w:numPr>
        <w:spacing w:line="360" w:lineRule="auto"/>
        <w:rPr>
          <w:rFonts w:cs="Arial"/>
          <w:sz w:val="24"/>
          <w:szCs w:val="24"/>
        </w:rPr>
      </w:pPr>
      <w:r w:rsidRPr="00502B58">
        <w:rPr>
          <w:rFonts w:cs="Arial"/>
          <w:sz w:val="24"/>
          <w:szCs w:val="24"/>
        </w:rPr>
        <w:t>Dr Mark Napier, C</w:t>
      </w:r>
      <w:r w:rsidR="00780BA5" w:rsidRPr="00502B58">
        <w:rPr>
          <w:rFonts w:cs="Arial"/>
          <w:sz w:val="24"/>
          <w:szCs w:val="24"/>
        </w:rPr>
        <w:t xml:space="preserve">ouncil for Scientific </w:t>
      </w:r>
      <w:r w:rsidR="006C595D" w:rsidRPr="00502B58">
        <w:rPr>
          <w:rFonts w:cs="Arial"/>
          <w:sz w:val="24"/>
          <w:szCs w:val="24"/>
        </w:rPr>
        <w:t xml:space="preserve">and Industrial </w:t>
      </w:r>
      <w:r w:rsidR="00780BA5" w:rsidRPr="00502B58">
        <w:rPr>
          <w:rFonts w:cs="Arial"/>
          <w:sz w:val="24"/>
          <w:szCs w:val="24"/>
        </w:rPr>
        <w:t xml:space="preserve">Research </w:t>
      </w:r>
    </w:p>
    <w:p w14:paraId="13A7A107" w14:textId="77777777" w:rsidR="00F1297A" w:rsidRPr="00502B58" w:rsidRDefault="00F1297A" w:rsidP="00F1297A">
      <w:pPr>
        <w:numPr>
          <w:ilvl w:val="0"/>
          <w:numId w:val="11"/>
        </w:numPr>
        <w:spacing w:line="360" w:lineRule="auto"/>
        <w:rPr>
          <w:rFonts w:cs="Arial"/>
          <w:sz w:val="24"/>
          <w:szCs w:val="24"/>
        </w:rPr>
      </w:pPr>
      <w:r w:rsidRPr="00502B58">
        <w:rPr>
          <w:rFonts w:cs="Arial"/>
          <w:sz w:val="24"/>
          <w:szCs w:val="24"/>
        </w:rPr>
        <w:t>Ms Zashe Shoko, Development Panning, City of Tshwane</w:t>
      </w:r>
    </w:p>
    <w:p w14:paraId="154F060B" w14:textId="7D212905" w:rsidR="00F1297A" w:rsidRPr="00502B58" w:rsidRDefault="00F1297A" w:rsidP="00F1297A">
      <w:pPr>
        <w:numPr>
          <w:ilvl w:val="0"/>
          <w:numId w:val="11"/>
        </w:numPr>
        <w:spacing w:line="360" w:lineRule="auto"/>
        <w:rPr>
          <w:rFonts w:cs="Arial"/>
          <w:sz w:val="24"/>
          <w:szCs w:val="24"/>
        </w:rPr>
      </w:pPr>
      <w:r w:rsidRPr="00502B58">
        <w:rPr>
          <w:rFonts w:cs="Arial"/>
          <w:sz w:val="24"/>
          <w:szCs w:val="24"/>
        </w:rPr>
        <w:t>Mr Seth Maqetuka City Support Programme at the National Treasury</w:t>
      </w:r>
    </w:p>
    <w:p w14:paraId="7E500D9F" w14:textId="6D908EFB" w:rsidR="00887A30" w:rsidRPr="00502B58" w:rsidRDefault="00887A30" w:rsidP="00887A30">
      <w:pPr>
        <w:numPr>
          <w:ilvl w:val="0"/>
          <w:numId w:val="11"/>
        </w:numPr>
        <w:spacing w:line="360" w:lineRule="auto"/>
        <w:rPr>
          <w:rFonts w:cs="Arial"/>
          <w:sz w:val="24"/>
          <w:szCs w:val="24"/>
        </w:rPr>
      </w:pPr>
      <w:r w:rsidRPr="00502B58">
        <w:rPr>
          <w:rFonts w:cs="Arial"/>
          <w:sz w:val="24"/>
          <w:szCs w:val="24"/>
        </w:rPr>
        <w:t>Dr Sandile Mbatha, Deputy Director General Department of Cooperative Governance and Traditional Affairs</w:t>
      </w:r>
    </w:p>
    <w:p w14:paraId="14F73A07" w14:textId="57A8A2B0" w:rsidR="00F1297A" w:rsidRPr="00502B58" w:rsidRDefault="00887A30" w:rsidP="00F1297A">
      <w:pPr>
        <w:numPr>
          <w:ilvl w:val="0"/>
          <w:numId w:val="11"/>
        </w:numPr>
        <w:spacing w:line="360" w:lineRule="auto"/>
        <w:rPr>
          <w:rFonts w:cs="Arial"/>
          <w:sz w:val="24"/>
          <w:szCs w:val="24"/>
        </w:rPr>
      </w:pPr>
      <w:r w:rsidRPr="00502B58">
        <w:rPr>
          <w:rFonts w:cs="Arial"/>
          <w:sz w:val="24"/>
          <w:szCs w:val="24"/>
        </w:rPr>
        <w:t xml:space="preserve">Mr George Tsotetsi, </w:t>
      </w:r>
      <w:r w:rsidR="001B79A8" w:rsidRPr="00502B58">
        <w:rPr>
          <w:rFonts w:cs="Arial"/>
          <w:sz w:val="24"/>
          <w:szCs w:val="24"/>
        </w:rPr>
        <w:t>Registrar of Deeds</w:t>
      </w:r>
    </w:p>
    <w:p w14:paraId="48857BD0" w14:textId="77777777" w:rsidR="00502B58" w:rsidRDefault="00887A30" w:rsidP="00502B58">
      <w:pPr>
        <w:numPr>
          <w:ilvl w:val="0"/>
          <w:numId w:val="11"/>
        </w:numPr>
        <w:spacing w:line="360" w:lineRule="auto"/>
        <w:rPr>
          <w:rFonts w:cs="Arial"/>
          <w:sz w:val="24"/>
          <w:szCs w:val="24"/>
        </w:rPr>
      </w:pPr>
      <w:r w:rsidRPr="00502B58">
        <w:rPr>
          <w:rFonts w:cs="Arial"/>
          <w:sz w:val="24"/>
          <w:szCs w:val="24"/>
        </w:rPr>
        <w:t>Mr Bonginkosi</w:t>
      </w:r>
      <w:r w:rsidR="002869F5" w:rsidRPr="00502B58">
        <w:rPr>
          <w:rFonts w:cs="Arial"/>
          <w:sz w:val="24"/>
          <w:szCs w:val="24"/>
        </w:rPr>
        <w:t xml:space="preserve"> </w:t>
      </w:r>
      <w:r w:rsidR="00E72194" w:rsidRPr="00502B58">
        <w:rPr>
          <w:rFonts w:cs="Arial"/>
          <w:sz w:val="24"/>
          <w:szCs w:val="24"/>
        </w:rPr>
        <w:t>Zulu,</w:t>
      </w:r>
      <w:r w:rsidR="00D425FC" w:rsidRPr="00502B58">
        <w:rPr>
          <w:rFonts w:cs="Arial"/>
          <w:sz w:val="24"/>
          <w:szCs w:val="24"/>
        </w:rPr>
        <w:t xml:space="preserve"> </w:t>
      </w:r>
      <w:r w:rsidR="00536999" w:rsidRPr="00502B58">
        <w:rPr>
          <w:rFonts w:cs="Arial"/>
          <w:sz w:val="24"/>
          <w:szCs w:val="24"/>
        </w:rPr>
        <w:t xml:space="preserve">Department of Rural Development </w:t>
      </w:r>
    </w:p>
    <w:p w14:paraId="320F4384" w14:textId="0564CDE3" w:rsidR="00F7644B" w:rsidRPr="00502B58" w:rsidRDefault="007F43BD" w:rsidP="00502B58">
      <w:pPr>
        <w:numPr>
          <w:ilvl w:val="0"/>
          <w:numId w:val="11"/>
        </w:numPr>
        <w:spacing w:line="360" w:lineRule="auto"/>
        <w:rPr>
          <w:rFonts w:cs="Arial"/>
          <w:sz w:val="24"/>
          <w:szCs w:val="24"/>
        </w:rPr>
      </w:pPr>
      <w:r w:rsidRPr="00502B58">
        <w:rPr>
          <w:rFonts w:cs="Arial"/>
          <w:sz w:val="24"/>
          <w:szCs w:val="24"/>
        </w:rPr>
        <w:t xml:space="preserve">Representative/s from African civil society organisations </w:t>
      </w:r>
      <w:bookmarkEnd w:id="0"/>
    </w:p>
    <w:p w14:paraId="6DA72ADF" w14:textId="3CDB1F9D" w:rsidR="003B497D" w:rsidRPr="003B497D" w:rsidRDefault="003B497D" w:rsidP="003B497D">
      <w:pPr>
        <w:tabs>
          <w:tab w:val="left" w:pos="4040"/>
        </w:tabs>
        <w:rPr>
          <w:rFonts w:ascii="Aptos" w:hAnsi="Aptos" w:cs="Arial"/>
          <w:highlight w:val="yellow"/>
        </w:rPr>
      </w:pPr>
      <w:r w:rsidRPr="00502B58">
        <w:rPr>
          <w:rFonts w:cs="Arial"/>
          <w:sz w:val="24"/>
          <w:szCs w:val="24"/>
        </w:rPr>
        <w:tab/>
      </w:r>
      <w:r w:rsidR="00D82BA4" w:rsidRPr="00D82BA4">
        <w:rPr>
          <w:rFonts w:ascii="Aptos" w:hAnsi="Aptos" w:cs="Arial"/>
        </w:rPr>
        <w:t>……………….</w:t>
      </w:r>
    </w:p>
    <w:sectPr w:rsidR="003B497D" w:rsidRPr="003B497D">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EF7B1" w14:textId="77777777" w:rsidR="00B669A1" w:rsidRDefault="00B669A1" w:rsidP="00C978C7">
      <w:pPr>
        <w:spacing w:after="0" w:line="240" w:lineRule="auto"/>
      </w:pPr>
      <w:r>
        <w:separator/>
      </w:r>
    </w:p>
  </w:endnote>
  <w:endnote w:type="continuationSeparator" w:id="0">
    <w:p w14:paraId="40228559" w14:textId="77777777" w:rsidR="00B669A1" w:rsidRDefault="00B669A1" w:rsidP="00C9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621C5" w14:textId="77777777" w:rsidR="00B669A1" w:rsidRDefault="00B669A1" w:rsidP="00C978C7">
      <w:pPr>
        <w:spacing w:after="0" w:line="240" w:lineRule="auto"/>
      </w:pPr>
      <w:r>
        <w:separator/>
      </w:r>
    </w:p>
  </w:footnote>
  <w:footnote w:type="continuationSeparator" w:id="0">
    <w:p w14:paraId="3DAB71EB" w14:textId="77777777" w:rsidR="00B669A1" w:rsidRDefault="00B669A1" w:rsidP="00C97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887F" w14:textId="0795D280" w:rsidR="00C978C7" w:rsidRDefault="00000000">
    <w:pPr>
      <w:pStyle w:val="Header"/>
    </w:pPr>
    <w:r>
      <w:rPr>
        <w:noProof/>
      </w:rPr>
      <w:pict w14:anchorId="1BB4F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BF02" w14:textId="1CB928E4" w:rsidR="00C978C7" w:rsidRDefault="00000000">
    <w:pPr>
      <w:pStyle w:val="Header"/>
    </w:pPr>
    <w:sdt>
      <w:sdtPr>
        <w:id w:val="214175654"/>
        <w:docPartObj>
          <w:docPartGallery w:val="Page Numbers (Margins)"/>
          <w:docPartUnique/>
        </w:docPartObj>
      </w:sdtPr>
      <w:sdtContent>
        <w:r w:rsidR="004F4265">
          <w:rPr>
            <w:noProof/>
          </w:rPr>
          <mc:AlternateContent>
            <mc:Choice Requires="wps">
              <w:drawing>
                <wp:anchor distT="0" distB="0" distL="114300" distR="114300" simplePos="0" relativeHeight="251665408" behindDoc="0" locked="0" layoutInCell="0" allowOverlap="1" wp14:anchorId="337F0E9B" wp14:editId="6CC85F78">
                  <wp:simplePos x="0" y="0"/>
                  <wp:positionH relativeFrom="rightMargin">
                    <wp:align>center</wp:align>
                  </wp:positionH>
                  <wp:positionV relativeFrom="margin">
                    <wp:align>bottom</wp:align>
                  </wp:positionV>
                  <wp:extent cx="532765" cy="2183130"/>
                  <wp:effectExtent l="0" t="0" r="3810" b="0"/>
                  <wp:wrapNone/>
                  <wp:docPr id="18446639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1DC9" w14:textId="77777777" w:rsidR="004F4265" w:rsidRDefault="004F426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37F0E9B" id="Rectangle 2" o:spid="_x0000_s1026" style="position:absolute;margin-left:0;margin-top:0;width:41.95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2C601DC9" w14:textId="77777777" w:rsidR="004F4265" w:rsidRDefault="004F426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Pr>
        <w:noProof/>
      </w:rPr>
      <w:pict w14:anchorId="6DE0C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40C4D" w14:textId="0FBCF689" w:rsidR="00C978C7" w:rsidRDefault="00000000">
    <w:pPr>
      <w:pStyle w:val="Header"/>
    </w:pPr>
    <w:r>
      <w:rPr>
        <w:noProof/>
      </w:rPr>
      <w:pict w14:anchorId="661D5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94FF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92EDC"/>
    <w:multiLevelType w:val="hybridMultilevel"/>
    <w:tmpl w:val="98FEDD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0434B1"/>
    <w:multiLevelType w:val="hybridMultilevel"/>
    <w:tmpl w:val="685E7F1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BB42344"/>
    <w:multiLevelType w:val="hybridMultilevel"/>
    <w:tmpl w:val="2D568C0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7930F9C"/>
    <w:multiLevelType w:val="hybridMultilevel"/>
    <w:tmpl w:val="C0DE9EC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7E963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466C85"/>
    <w:multiLevelType w:val="hybridMultilevel"/>
    <w:tmpl w:val="59EE7D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1C346B6"/>
    <w:multiLevelType w:val="multilevel"/>
    <w:tmpl w:val="04C8D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7644A"/>
    <w:multiLevelType w:val="multilevel"/>
    <w:tmpl w:val="6A8AD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330BD"/>
    <w:multiLevelType w:val="multilevel"/>
    <w:tmpl w:val="FCCA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E84FBE"/>
    <w:multiLevelType w:val="hybridMultilevel"/>
    <w:tmpl w:val="F55087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1093E36"/>
    <w:multiLevelType w:val="hybridMultilevel"/>
    <w:tmpl w:val="108AF892"/>
    <w:lvl w:ilvl="0" w:tplc="1C09000F">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DD762BF"/>
    <w:multiLevelType w:val="hybridMultilevel"/>
    <w:tmpl w:val="ED42AB1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513224462">
    <w:abstractNumId w:val="10"/>
  </w:num>
  <w:num w:numId="2" w16cid:durableId="573054524">
    <w:abstractNumId w:val="0"/>
  </w:num>
  <w:num w:numId="3" w16cid:durableId="626400977">
    <w:abstractNumId w:val="5"/>
  </w:num>
  <w:num w:numId="4" w16cid:durableId="41906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5215125">
    <w:abstractNumId w:val="12"/>
  </w:num>
  <w:num w:numId="6" w16cid:durableId="1320962003">
    <w:abstractNumId w:val="6"/>
  </w:num>
  <w:num w:numId="7" w16cid:durableId="867644986">
    <w:abstractNumId w:val="3"/>
  </w:num>
  <w:num w:numId="8" w16cid:durableId="169561690">
    <w:abstractNumId w:val="1"/>
  </w:num>
  <w:num w:numId="9" w16cid:durableId="893737647">
    <w:abstractNumId w:val="9"/>
  </w:num>
  <w:num w:numId="10" w16cid:durableId="1737195073">
    <w:abstractNumId w:val="8"/>
  </w:num>
  <w:num w:numId="11" w16cid:durableId="1216156847">
    <w:abstractNumId w:val="7"/>
  </w:num>
  <w:num w:numId="12" w16cid:durableId="1436949222">
    <w:abstractNumId w:val="4"/>
  </w:num>
  <w:num w:numId="13" w16cid:durableId="1756903470">
    <w:abstractNumId w:val="11"/>
  </w:num>
  <w:num w:numId="14" w16cid:durableId="678892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F6"/>
    <w:rsid w:val="00015C2E"/>
    <w:rsid w:val="00027FF6"/>
    <w:rsid w:val="00036973"/>
    <w:rsid w:val="00046702"/>
    <w:rsid w:val="00050FAA"/>
    <w:rsid w:val="000857E9"/>
    <w:rsid w:val="00090F7A"/>
    <w:rsid w:val="00096A75"/>
    <w:rsid w:val="000A567A"/>
    <w:rsid w:val="000B1643"/>
    <w:rsid w:val="000E7D41"/>
    <w:rsid w:val="0013379F"/>
    <w:rsid w:val="00133F92"/>
    <w:rsid w:val="0014545B"/>
    <w:rsid w:val="00146BCA"/>
    <w:rsid w:val="00151F3F"/>
    <w:rsid w:val="00152F1A"/>
    <w:rsid w:val="00157C3A"/>
    <w:rsid w:val="001862CE"/>
    <w:rsid w:val="001905A6"/>
    <w:rsid w:val="00197BB2"/>
    <w:rsid w:val="001A25FA"/>
    <w:rsid w:val="001A37D8"/>
    <w:rsid w:val="001B2698"/>
    <w:rsid w:val="001B79A8"/>
    <w:rsid w:val="001C2B99"/>
    <w:rsid w:val="001D7629"/>
    <w:rsid w:val="001F3A4B"/>
    <w:rsid w:val="0022069F"/>
    <w:rsid w:val="00227FCB"/>
    <w:rsid w:val="002369DE"/>
    <w:rsid w:val="002573FD"/>
    <w:rsid w:val="00271014"/>
    <w:rsid w:val="00271262"/>
    <w:rsid w:val="002869F5"/>
    <w:rsid w:val="002966CE"/>
    <w:rsid w:val="00296D18"/>
    <w:rsid w:val="002A0E64"/>
    <w:rsid w:val="002A30E3"/>
    <w:rsid w:val="002A794A"/>
    <w:rsid w:val="002B1CC5"/>
    <w:rsid w:val="002B36A9"/>
    <w:rsid w:val="002E296B"/>
    <w:rsid w:val="002F3A2B"/>
    <w:rsid w:val="002F3E72"/>
    <w:rsid w:val="002F7077"/>
    <w:rsid w:val="002F7763"/>
    <w:rsid w:val="00302354"/>
    <w:rsid w:val="00306BE2"/>
    <w:rsid w:val="003119DF"/>
    <w:rsid w:val="0034430B"/>
    <w:rsid w:val="003558F1"/>
    <w:rsid w:val="0037581D"/>
    <w:rsid w:val="003842CC"/>
    <w:rsid w:val="003876B0"/>
    <w:rsid w:val="0039451D"/>
    <w:rsid w:val="003A450B"/>
    <w:rsid w:val="003B02E4"/>
    <w:rsid w:val="003B497D"/>
    <w:rsid w:val="003C7852"/>
    <w:rsid w:val="003D1A50"/>
    <w:rsid w:val="003D326E"/>
    <w:rsid w:val="003E3D6B"/>
    <w:rsid w:val="00403721"/>
    <w:rsid w:val="00407098"/>
    <w:rsid w:val="00421EB9"/>
    <w:rsid w:val="00427441"/>
    <w:rsid w:val="00464D2A"/>
    <w:rsid w:val="00467C0A"/>
    <w:rsid w:val="004B5550"/>
    <w:rsid w:val="004D49BA"/>
    <w:rsid w:val="004D6883"/>
    <w:rsid w:val="004D7871"/>
    <w:rsid w:val="004F2379"/>
    <w:rsid w:val="004F4265"/>
    <w:rsid w:val="0050050B"/>
    <w:rsid w:val="00502B58"/>
    <w:rsid w:val="00506836"/>
    <w:rsid w:val="0051111F"/>
    <w:rsid w:val="00527A1D"/>
    <w:rsid w:val="00534EFF"/>
    <w:rsid w:val="00536999"/>
    <w:rsid w:val="00544363"/>
    <w:rsid w:val="00580413"/>
    <w:rsid w:val="005877C0"/>
    <w:rsid w:val="00597693"/>
    <w:rsid w:val="005A1AB9"/>
    <w:rsid w:val="005D267F"/>
    <w:rsid w:val="005D4619"/>
    <w:rsid w:val="00614D59"/>
    <w:rsid w:val="0061796B"/>
    <w:rsid w:val="00623FED"/>
    <w:rsid w:val="00635984"/>
    <w:rsid w:val="006370FD"/>
    <w:rsid w:val="00637E9E"/>
    <w:rsid w:val="0069515E"/>
    <w:rsid w:val="006C0D7A"/>
    <w:rsid w:val="006C595D"/>
    <w:rsid w:val="006D0BB4"/>
    <w:rsid w:val="006D1FE5"/>
    <w:rsid w:val="006E3017"/>
    <w:rsid w:val="0071457E"/>
    <w:rsid w:val="00742430"/>
    <w:rsid w:val="00770375"/>
    <w:rsid w:val="00774514"/>
    <w:rsid w:val="00780BA5"/>
    <w:rsid w:val="00783ED8"/>
    <w:rsid w:val="007905A9"/>
    <w:rsid w:val="00795CC0"/>
    <w:rsid w:val="007A1A1E"/>
    <w:rsid w:val="007A56A3"/>
    <w:rsid w:val="007B7602"/>
    <w:rsid w:val="007B792A"/>
    <w:rsid w:val="007F312F"/>
    <w:rsid w:val="007F43BD"/>
    <w:rsid w:val="00812316"/>
    <w:rsid w:val="0082614C"/>
    <w:rsid w:val="00842465"/>
    <w:rsid w:val="008512DE"/>
    <w:rsid w:val="00852CDD"/>
    <w:rsid w:val="00856681"/>
    <w:rsid w:val="00884026"/>
    <w:rsid w:val="00887A30"/>
    <w:rsid w:val="008A31A3"/>
    <w:rsid w:val="008A3805"/>
    <w:rsid w:val="008B54F3"/>
    <w:rsid w:val="008C062A"/>
    <w:rsid w:val="008E7FBC"/>
    <w:rsid w:val="008F11F6"/>
    <w:rsid w:val="008F3A24"/>
    <w:rsid w:val="008F46C6"/>
    <w:rsid w:val="009034D1"/>
    <w:rsid w:val="00931E5A"/>
    <w:rsid w:val="00956EE8"/>
    <w:rsid w:val="0097363E"/>
    <w:rsid w:val="00997D71"/>
    <w:rsid w:val="009B0772"/>
    <w:rsid w:val="009D1854"/>
    <w:rsid w:val="009D1C15"/>
    <w:rsid w:val="009D6034"/>
    <w:rsid w:val="00A0357E"/>
    <w:rsid w:val="00A46DCD"/>
    <w:rsid w:val="00A51615"/>
    <w:rsid w:val="00A60E07"/>
    <w:rsid w:val="00A70EB0"/>
    <w:rsid w:val="00A726B8"/>
    <w:rsid w:val="00AE73ED"/>
    <w:rsid w:val="00B13EEF"/>
    <w:rsid w:val="00B16F84"/>
    <w:rsid w:val="00B17B01"/>
    <w:rsid w:val="00B23142"/>
    <w:rsid w:val="00B23F22"/>
    <w:rsid w:val="00B30D76"/>
    <w:rsid w:val="00B31939"/>
    <w:rsid w:val="00B36377"/>
    <w:rsid w:val="00B61F8A"/>
    <w:rsid w:val="00B669A1"/>
    <w:rsid w:val="00B826AE"/>
    <w:rsid w:val="00B92CE4"/>
    <w:rsid w:val="00BA3B44"/>
    <w:rsid w:val="00BA52F7"/>
    <w:rsid w:val="00BB0D44"/>
    <w:rsid w:val="00BB66D6"/>
    <w:rsid w:val="00BC4F6A"/>
    <w:rsid w:val="00BD702F"/>
    <w:rsid w:val="00BD7A4E"/>
    <w:rsid w:val="00BE6448"/>
    <w:rsid w:val="00C005F2"/>
    <w:rsid w:val="00C0231F"/>
    <w:rsid w:val="00C12CFA"/>
    <w:rsid w:val="00C14461"/>
    <w:rsid w:val="00C164A3"/>
    <w:rsid w:val="00C17549"/>
    <w:rsid w:val="00C32554"/>
    <w:rsid w:val="00C54DB7"/>
    <w:rsid w:val="00C66BBC"/>
    <w:rsid w:val="00C77B5E"/>
    <w:rsid w:val="00C81347"/>
    <w:rsid w:val="00C978C7"/>
    <w:rsid w:val="00CC7E48"/>
    <w:rsid w:val="00CD01A2"/>
    <w:rsid w:val="00CF132D"/>
    <w:rsid w:val="00CF1354"/>
    <w:rsid w:val="00D148AC"/>
    <w:rsid w:val="00D227F7"/>
    <w:rsid w:val="00D22BFF"/>
    <w:rsid w:val="00D41806"/>
    <w:rsid w:val="00D425FC"/>
    <w:rsid w:val="00D549E6"/>
    <w:rsid w:val="00D551AC"/>
    <w:rsid w:val="00D73CE1"/>
    <w:rsid w:val="00D82BA4"/>
    <w:rsid w:val="00D84233"/>
    <w:rsid w:val="00D85BAE"/>
    <w:rsid w:val="00DA5747"/>
    <w:rsid w:val="00DC2BD3"/>
    <w:rsid w:val="00DD40C5"/>
    <w:rsid w:val="00DE2CCD"/>
    <w:rsid w:val="00DE7A8A"/>
    <w:rsid w:val="00DF5A11"/>
    <w:rsid w:val="00E05928"/>
    <w:rsid w:val="00E10AC1"/>
    <w:rsid w:val="00E11C2F"/>
    <w:rsid w:val="00E1511B"/>
    <w:rsid w:val="00E25E05"/>
    <w:rsid w:val="00E421FC"/>
    <w:rsid w:val="00E42A63"/>
    <w:rsid w:val="00E444D6"/>
    <w:rsid w:val="00E72194"/>
    <w:rsid w:val="00E758B0"/>
    <w:rsid w:val="00E944B1"/>
    <w:rsid w:val="00E948C3"/>
    <w:rsid w:val="00EA61A4"/>
    <w:rsid w:val="00EB1CE3"/>
    <w:rsid w:val="00EB1ECE"/>
    <w:rsid w:val="00EB30AB"/>
    <w:rsid w:val="00EB505D"/>
    <w:rsid w:val="00EC2941"/>
    <w:rsid w:val="00EC3F7A"/>
    <w:rsid w:val="00ED2502"/>
    <w:rsid w:val="00ED7116"/>
    <w:rsid w:val="00EE43D2"/>
    <w:rsid w:val="00EF2F27"/>
    <w:rsid w:val="00F1297A"/>
    <w:rsid w:val="00F24430"/>
    <w:rsid w:val="00F341C0"/>
    <w:rsid w:val="00F40E3F"/>
    <w:rsid w:val="00F7644B"/>
    <w:rsid w:val="00F769D1"/>
    <w:rsid w:val="00F859C4"/>
    <w:rsid w:val="00F90BB5"/>
    <w:rsid w:val="00F97617"/>
    <w:rsid w:val="00FA4A3A"/>
    <w:rsid w:val="00FB7CD6"/>
    <w:rsid w:val="00FD1A10"/>
    <w:rsid w:val="00FE77C0"/>
    <w:rsid w:val="00FF01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657C"/>
  <w15:chartTrackingRefBased/>
  <w15:docId w15:val="{DF20844E-A5BF-4E66-8B3C-D1B7B571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1F6"/>
    <w:rPr>
      <w:rFonts w:eastAsiaTheme="majorEastAsia" w:cstheme="majorBidi"/>
      <w:color w:val="272727" w:themeColor="text1" w:themeTint="D8"/>
    </w:rPr>
  </w:style>
  <w:style w:type="paragraph" w:styleId="Title">
    <w:name w:val="Title"/>
    <w:basedOn w:val="Normal"/>
    <w:next w:val="Normal"/>
    <w:link w:val="TitleChar"/>
    <w:uiPriority w:val="10"/>
    <w:qFormat/>
    <w:rsid w:val="008F1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1F6"/>
    <w:pPr>
      <w:spacing w:before="160"/>
      <w:jc w:val="center"/>
    </w:pPr>
    <w:rPr>
      <w:i/>
      <w:iCs/>
      <w:color w:val="404040" w:themeColor="text1" w:themeTint="BF"/>
    </w:rPr>
  </w:style>
  <w:style w:type="character" w:customStyle="1" w:styleId="QuoteChar">
    <w:name w:val="Quote Char"/>
    <w:basedOn w:val="DefaultParagraphFont"/>
    <w:link w:val="Quote"/>
    <w:uiPriority w:val="29"/>
    <w:rsid w:val="008F11F6"/>
    <w:rPr>
      <w:i/>
      <w:iCs/>
      <w:color w:val="404040" w:themeColor="text1" w:themeTint="BF"/>
    </w:rPr>
  </w:style>
  <w:style w:type="paragraph" w:styleId="ListParagraph">
    <w:name w:val="List Paragraph"/>
    <w:basedOn w:val="Normal"/>
    <w:uiPriority w:val="34"/>
    <w:qFormat/>
    <w:rsid w:val="008F11F6"/>
    <w:pPr>
      <w:ind w:left="720"/>
      <w:contextualSpacing/>
    </w:pPr>
  </w:style>
  <w:style w:type="character" w:styleId="IntenseEmphasis">
    <w:name w:val="Intense Emphasis"/>
    <w:basedOn w:val="DefaultParagraphFont"/>
    <w:uiPriority w:val="21"/>
    <w:qFormat/>
    <w:rsid w:val="008F11F6"/>
    <w:rPr>
      <w:i/>
      <w:iCs/>
      <w:color w:val="0F4761" w:themeColor="accent1" w:themeShade="BF"/>
    </w:rPr>
  </w:style>
  <w:style w:type="paragraph" w:styleId="IntenseQuote">
    <w:name w:val="Intense Quote"/>
    <w:basedOn w:val="Normal"/>
    <w:next w:val="Normal"/>
    <w:link w:val="IntenseQuoteChar"/>
    <w:uiPriority w:val="30"/>
    <w:qFormat/>
    <w:rsid w:val="008F1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1F6"/>
    <w:rPr>
      <w:i/>
      <w:iCs/>
      <w:color w:val="0F4761" w:themeColor="accent1" w:themeShade="BF"/>
    </w:rPr>
  </w:style>
  <w:style w:type="character" w:styleId="IntenseReference">
    <w:name w:val="Intense Reference"/>
    <w:basedOn w:val="DefaultParagraphFont"/>
    <w:uiPriority w:val="32"/>
    <w:qFormat/>
    <w:rsid w:val="008F11F6"/>
    <w:rPr>
      <w:b/>
      <w:bCs/>
      <w:smallCaps/>
      <w:color w:val="0F4761" w:themeColor="accent1" w:themeShade="BF"/>
      <w:spacing w:val="5"/>
    </w:rPr>
  </w:style>
  <w:style w:type="paragraph" w:customStyle="1" w:styleId="Default">
    <w:name w:val="Default"/>
    <w:rsid w:val="00F7644B"/>
    <w:pPr>
      <w:autoSpaceDE w:val="0"/>
      <w:autoSpaceDN w:val="0"/>
      <w:adjustRightInd w:val="0"/>
      <w:spacing w:after="0" w:line="240" w:lineRule="auto"/>
    </w:pPr>
    <w:rPr>
      <w:rFonts w:ascii="Aptos" w:hAnsi="Aptos" w:cs="Aptos"/>
      <w:color w:val="000000"/>
      <w:kern w:val="0"/>
      <w:sz w:val="24"/>
      <w:szCs w:val="24"/>
    </w:rPr>
  </w:style>
  <w:style w:type="paragraph" w:styleId="Header">
    <w:name w:val="header"/>
    <w:basedOn w:val="Normal"/>
    <w:link w:val="HeaderChar"/>
    <w:uiPriority w:val="99"/>
    <w:unhideWhenUsed/>
    <w:rsid w:val="00C97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8C7"/>
  </w:style>
  <w:style w:type="paragraph" w:styleId="Footer">
    <w:name w:val="footer"/>
    <w:basedOn w:val="Normal"/>
    <w:link w:val="FooterChar"/>
    <w:uiPriority w:val="99"/>
    <w:unhideWhenUsed/>
    <w:rsid w:val="00C97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8C7"/>
  </w:style>
  <w:style w:type="paragraph" w:styleId="BodyText">
    <w:name w:val="Body Text"/>
    <w:basedOn w:val="Normal"/>
    <w:link w:val="BodyTextChar"/>
    <w:uiPriority w:val="1"/>
    <w:qFormat/>
    <w:rsid w:val="009D6034"/>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9D6034"/>
    <w:rPr>
      <w:rFonts w:ascii="Calibri" w:eastAsia="Calibri" w:hAnsi="Calibri" w:cs="Calibri"/>
      <w:kern w:val="0"/>
      <w:lang w:val="en-US"/>
      <w14:ligatures w14:val="none"/>
    </w:rPr>
  </w:style>
  <w:style w:type="character" w:styleId="Hyperlink">
    <w:name w:val="Hyperlink"/>
    <w:basedOn w:val="DefaultParagraphFont"/>
    <w:uiPriority w:val="99"/>
    <w:unhideWhenUsed/>
    <w:rsid w:val="00F24430"/>
    <w:rPr>
      <w:color w:val="467886" w:themeColor="hyperlink"/>
      <w:u w:val="single"/>
    </w:rPr>
  </w:style>
  <w:style w:type="character" w:styleId="UnresolvedMention">
    <w:name w:val="Unresolved Mention"/>
    <w:basedOn w:val="DefaultParagraphFont"/>
    <w:uiPriority w:val="99"/>
    <w:semiHidden/>
    <w:unhideWhenUsed/>
    <w:rsid w:val="00F24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5028">
      <w:bodyDiv w:val="1"/>
      <w:marLeft w:val="0"/>
      <w:marRight w:val="0"/>
      <w:marTop w:val="0"/>
      <w:marBottom w:val="0"/>
      <w:divBdr>
        <w:top w:val="none" w:sz="0" w:space="0" w:color="auto"/>
        <w:left w:val="none" w:sz="0" w:space="0" w:color="auto"/>
        <w:bottom w:val="none" w:sz="0" w:space="0" w:color="auto"/>
        <w:right w:val="none" w:sz="0" w:space="0" w:color="auto"/>
      </w:divBdr>
    </w:div>
    <w:div w:id="229853246">
      <w:bodyDiv w:val="1"/>
      <w:marLeft w:val="0"/>
      <w:marRight w:val="0"/>
      <w:marTop w:val="0"/>
      <w:marBottom w:val="0"/>
      <w:divBdr>
        <w:top w:val="none" w:sz="0" w:space="0" w:color="auto"/>
        <w:left w:val="none" w:sz="0" w:space="0" w:color="auto"/>
        <w:bottom w:val="none" w:sz="0" w:space="0" w:color="auto"/>
        <w:right w:val="none" w:sz="0" w:space="0" w:color="auto"/>
      </w:divBdr>
    </w:div>
    <w:div w:id="10410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8735f64-1815-42da-967f-0a538bbc37f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54172DDD43204ABAA13032B943B333" ma:contentTypeVersion="15" ma:contentTypeDescription="Create a new document." ma:contentTypeScope="" ma:versionID="0ddfa09a2283353cce76e390d7064676">
  <xsd:schema xmlns:xsd="http://www.w3.org/2001/XMLSchema" xmlns:xs="http://www.w3.org/2001/XMLSchema" xmlns:p="http://schemas.microsoft.com/office/2006/metadata/properties" xmlns:ns1="http://schemas.microsoft.com/sharepoint/v3" xmlns:ns3="58735f64-1815-42da-967f-0a538bbc37f5" xmlns:ns4="0dd8a4f0-123c-4298-b4fb-744e01eb4707" targetNamespace="http://schemas.microsoft.com/office/2006/metadata/properties" ma:root="true" ma:fieldsID="e380c3c0c9b8337fa58c3bbe74f155e4" ns1:_="" ns3:_="" ns4:_="">
    <xsd:import namespace="http://schemas.microsoft.com/sharepoint/v3"/>
    <xsd:import namespace="58735f64-1815-42da-967f-0a538bbc37f5"/>
    <xsd:import namespace="0dd8a4f0-123c-4298-b4fb-744e01eb470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35f64-1815-42da-967f-0a538bbc3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8a4f0-123c-4298-b4fb-744e01eb47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EA3F8-1058-46E1-B16B-37D4D2B64031}">
  <ds:schemaRefs>
    <ds:schemaRef ds:uri="http://schemas.microsoft.com/office/2006/metadata/properties"/>
    <ds:schemaRef ds:uri="http://schemas.microsoft.com/office/infopath/2007/PartnerControls"/>
    <ds:schemaRef ds:uri="http://schemas.microsoft.com/sharepoint/v3"/>
    <ds:schemaRef ds:uri="58735f64-1815-42da-967f-0a538bbc37f5"/>
  </ds:schemaRefs>
</ds:datastoreItem>
</file>

<file path=customXml/itemProps2.xml><?xml version="1.0" encoding="utf-8"?>
<ds:datastoreItem xmlns:ds="http://schemas.openxmlformats.org/officeDocument/2006/customXml" ds:itemID="{C0987A63-348E-4CF5-811D-7C5D72D6D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35f64-1815-42da-967f-0a538bbc37f5"/>
    <ds:schemaRef ds:uri="0dd8a4f0-123c-4298-b4fb-744e01eb4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87133-BB2F-47A8-93BF-3FB59F67D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Duduzile Singeni</dc:creator>
  <cp:keywords/>
  <dc:description/>
  <cp:lastModifiedBy>Duduzile Singeni</cp:lastModifiedBy>
  <cp:revision>2</cp:revision>
  <dcterms:created xsi:type="dcterms:W3CDTF">2025-03-19T06:57:00Z</dcterms:created>
  <dcterms:modified xsi:type="dcterms:W3CDTF">2025-03-19T06:57:00Z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559d34-73b8-4a7a-bea0-29011fa0c1e3_Enabled">
    <vt:lpwstr>true</vt:lpwstr>
  </property>
  <property fmtid="{D5CDD505-2E9C-101B-9397-08002B2CF9AE}" pid="3" name="MSIP_Label_07559d34-73b8-4a7a-bea0-29011fa0c1e3_SetDate">
    <vt:lpwstr>2025-02-18T13:41:51Z</vt:lpwstr>
  </property>
  <property fmtid="{D5CDD505-2E9C-101B-9397-08002B2CF9AE}" pid="4" name="MSIP_Label_07559d34-73b8-4a7a-bea0-29011fa0c1e3_Method">
    <vt:lpwstr>Standard</vt:lpwstr>
  </property>
  <property fmtid="{D5CDD505-2E9C-101B-9397-08002B2CF9AE}" pid="5" name="MSIP_Label_07559d34-73b8-4a7a-bea0-29011fa0c1e3_Name">
    <vt:lpwstr>Ganeral</vt:lpwstr>
  </property>
  <property fmtid="{D5CDD505-2E9C-101B-9397-08002B2CF9AE}" pid="6" name="MSIP_Label_07559d34-73b8-4a7a-bea0-29011fa0c1e3_SiteId">
    <vt:lpwstr>d68a0803-f0aa-4014-840d-93eb8ae08d77</vt:lpwstr>
  </property>
  <property fmtid="{D5CDD505-2E9C-101B-9397-08002B2CF9AE}" pid="7" name="MSIP_Label_07559d34-73b8-4a7a-bea0-29011fa0c1e3_ActionId">
    <vt:lpwstr>28a2834e-6ce6-45f8-adb4-3729ad0fb451</vt:lpwstr>
  </property>
  <property fmtid="{D5CDD505-2E9C-101B-9397-08002B2CF9AE}" pid="8" name="MSIP_Label_07559d34-73b8-4a7a-bea0-29011fa0c1e3_ContentBits">
    <vt:lpwstr>0</vt:lpwstr>
  </property>
  <property fmtid="{D5CDD505-2E9C-101B-9397-08002B2CF9AE}" pid="9" name="MSIP_Label_07559d34-73b8-4a7a-bea0-29011fa0c1e3_Tag">
    <vt:lpwstr>10, 3, 0, 1</vt:lpwstr>
  </property>
  <property fmtid="{D5CDD505-2E9C-101B-9397-08002B2CF9AE}" pid="10" name="ContentTypeId">
    <vt:lpwstr>0x010100DE54172DDD43204ABAA13032B943B333</vt:lpwstr>
  </property>
</Properties>
</file>